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widowControl w:val="1"/>
        <w:pBdr>
          <w:top w:space="0" w:sz="0" w:val="nil"/>
          <w:left w:space="0" w:sz="0" w:val="nil"/>
          <w:bottom w:space="0" w:sz="0" w:val="nil"/>
          <w:right w:space="0" w:sz="0" w:val="nil"/>
          <w:between w:space="0" w:sz="0" w:val="nil"/>
        </w:pBdr>
        <w:shd w:fill="auto" w:val="clear"/>
        <w:spacing w:after="60" w:before="240" w:line="276" w:lineRule="auto"/>
        <w:ind w:left="0" w:right="0" w:firstLine="0"/>
        <w:jc w:val="left"/>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60" w:before="240" w:line="276" w:lineRule="auto"/>
        <w:ind w:left="0" w:right="0" w:firstLine="0"/>
        <w:jc w:val="left"/>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1"/>
        <w:keepLines w:val="0"/>
        <w:widowControl w:val="1"/>
        <w:pBdr>
          <w:top w:space="0" w:sz="0" w:val="nil"/>
          <w:left w:space="0" w:sz="0" w:val="nil"/>
          <w:bottom w:space="0" w:sz="0" w:val="nil"/>
          <w:right w:space="0" w:sz="0" w:val="nil"/>
          <w:between w:space="0" w:sz="0" w:val="nil"/>
        </w:pBdr>
        <w:shd w:fill="auto" w:val="clear"/>
        <w:spacing w:after="60" w:before="240" w:line="276" w:lineRule="auto"/>
        <w:ind w:left="0" w:right="0" w:firstLine="0"/>
        <w:jc w:val="left"/>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1"/>
        <w:keepLines w:val="0"/>
        <w:widowControl w:val="1"/>
        <w:pBdr>
          <w:top w:space="0" w:sz="0" w:val="nil"/>
          <w:left w:space="0" w:sz="0" w:val="nil"/>
          <w:bottom w:space="0" w:sz="0" w:val="nil"/>
          <w:right w:space="0" w:sz="0" w:val="nil"/>
          <w:between w:space="0" w:sz="0" w:val="nil"/>
        </w:pBdr>
        <w:shd w:fill="auto" w:val="clear"/>
        <w:spacing w:after="60" w:before="240" w:line="276" w:lineRule="auto"/>
        <w:ind w:left="0" w:right="0" w:firstLine="0"/>
        <w:jc w:val="left"/>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widowControl w:val="1"/>
        <w:pBdr>
          <w:top w:space="0" w:sz="0" w:val="nil"/>
          <w:left w:space="0" w:sz="0" w:val="nil"/>
          <w:bottom w:space="0" w:sz="0" w:val="nil"/>
          <w:right w:space="0" w:sz="0" w:val="nil"/>
          <w:between w:space="0" w:sz="0" w:val="nil"/>
        </w:pBdr>
        <w:shd w:fill="auto" w:val="clear"/>
        <w:spacing w:after="60" w:before="240" w:line="276" w:lineRule="auto"/>
        <w:ind w:left="0" w:right="0" w:firstLine="0"/>
        <w:jc w:val="left"/>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6">
      <w:pPr>
        <w:keepNext w:val="1"/>
        <w:keepLines w:val="0"/>
        <w:widowControl w:val="1"/>
        <w:pBdr>
          <w:top w:space="0" w:sz="0" w:val="nil"/>
          <w:left w:space="0" w:sz="0" w:val="nil"/>
          <w:bottom w:space="0" w:sz="0" w:val="nil"/>
          <w:right w:space="0" w:sz="0" w:val="nil"/>
          <w:between w:space="0" w:sz="0" w:val="nil"/>
        </w:pBdr>
        <w:shd w:fill="auto" w:val="clear"/>
        <w:spacing w:after="60" w:before="240" w:line="276" w:lineRule="auto"/>
        <w:ind w:left="0" w:right="0" w:firstLine="0"/>
        <w:jc w:val="left"/>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7">
      <w:pPr>
        <w:keepNext w:val="1"/>
        <w:keepLines w:val="0"/>
        <w:widowControl w:val="1"/>
        <w:pBdr>
          <w:top w:space="0" w:sz="0" w:val="nil"/>
          <w:left w:space="0" w:sz="0" w:val="nil"/>
          <w:bottom w:space="0" w:sz="0" w:val="nil"/>
          <w:right w:space="0" w:sz="0" w:val="nil"/>
          <w:between w:space="0" w:sz="0" w:val="nil"/>
        </w:pBdr>
        <w:shd w:fill="auto" w:val="clear"/>
        <w:spacing w:after="60" w:before="240" w:line="276" w:lineRule="auto"/>
        <w:ind w:left="0" w:right="0" w:firstLine="0"/>
        <w:jc w:val="left"/>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8">
      <w:pPr>
        <w:keepNext w:val="1"/>
        <w:keepLines w:val="0"/>
        <w:widowControl w:val="1"/>
        <w:pBdr>
          <w:top w:space="0" w:sz="0" w:val="nil"/>
          <w:left w:space="0" w:sz="0" w:val="nil"/>
          <w:bottom w:space="0" w:sz="0" w:val="nil"/>
          <w:right w:space="0" w:sz="0" w:val="nil"/>
          <w:between w:space="0" w:sz="0" w:val="nil"/>
        </w:pBdr>
        <w:shd w:fill="auto" w:val="clear"/>
        <w:spacing w:after="60" w:before="240" w:line="276" w:lineRule="auto"/>
        <w:ind w:left="0" w:right="0" w:firstLine="0"/>
        <w:jc w:val="center"/>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Fonts w:ascii="Cambria" w:cs="Cambria" w:eastAsia="Cambria" w:hAnsi="Cambria"/>
          <w:b w:val="1"/>
          <w:i w:val="0"/>
          <w:smallCaps w:val="0"/>
          <w:strike w:val="0"/>
          <w:color w:val="000000"/>
          <w:sz w:val="32"/>
          <w:szCs w:val="32"/>
          <w:u w:val="none"/>
          <w:shd w:fill="auto" w:val="clear"/>
          <w:vertAlign w:val="baseline"/>
          <w:rtl w:val="0"/>
        </w:rPr>
        <w:t xml:space="preserve">INFORME DE ACTIVIDAD SEGUIMIENTO A LA EFICIENCIA DE LOS COMPUTADORES – PRIMER SEMESTRE 2020</w:t>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keepNext w:val="1"/>
        <w:keepLines w:val="0"/>
        <w:widowControl w:val="1"/>
        <w:pBdr>
          <w:top w:space="0" w:sz="0" w:val="nil"/>
          <w:left w:space="0" w:sz="0" w:val="nil"/>
          <w:bottom w:space="0" w:sz="0" w:val="nil"/>
          <w:right w:space="0" w:sz="0" w:val="nil"/>
          <w:between w:space="0" w:sz="0" w:val="nil"/>
        </w:pBdr>
        <w:shd w:fill="auto" w:val="clear"/>
        <w:spacing w:after="60" w:before="240" w:line="276" w:lineRule="auto"/>
        <w:ind w:left="0" w:right="0" w:firstLine="0"/>
        <w:jc w:val="left"/>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br w:type="page"/>
      </w:r>
      <w:r w:rsidDel="00000000" w:rsidR="00000000" w:rsidRPr="00000000">
        <w:rPr>
          <w:rFonts w:ascii="Cambria" w:cs="Cambria" w:eastAsia="Cambria" w:hAnsi="Cambria"/>
          <w:b w:val="1"/>
          <w:i w:val="0"/>
          <w:smallCaps w:val="0"/>
          <w:strike w:val="0"/>
          <w:color w:val="000000"/>
          <w:sz w:val="32"/>
          <w:szCs w:val="32"/>
          <w:u w:val="none"/>
          <w:shd w:fill="auto" w:val="clear"/>
          <w:vertAlign w:val="baseline"/>
          <w:rtl w:val="0"/>
        </w:rPr>
        <w:t xml:space="preserve">Objetivo</w:t>
      </w:r>
    </w:p>
    <w:p w:rsidR="00000000" w:rsidDel="00000000" w:rsidP="00000000" w:rsidRDefault="00000000" w:rsidRPr="00000000" w14:paraId="0000000B">
      <w:pPr>
        <w:jc w:val="both"/>
        <w:rPr>
          <w:vertAlign w:val="baseline"/>
        </w:rPr>
      </w:pPr>
      <w:r w:rsidDel="00000000" w:rsidR="00000000" w:rsidRPr="00000000">
        <w:rPr>
          <w:vertAlign w:val="baseline"/>
          <w:rtl w:val="0"/>
        </w:rPr>
        <w:t xml:space="preserve">Dar cumplimiento al Programa de Uso y Ahorro Eficiente de la Energía del SGA, por medio de la ejecución de la actividad “Evaluación de la eficiencia de los computadores actuales”.</w:t>
      </w:r>
    </w:p>
    <w:p w:rsidR="00000000" w:rsidDel="00000000" w:rsidP="00000000" w:rsidRDefault="00000000" w:rsidRPr="00000000" w14:paraId="0000000C">
      <w:pPr>
        <w:keepNext w:val="1"/>
        <w:keepLines w:val="0"/>
        <w:widowControl w:val="1"/>
        <w:pBdr>
          <w:top w:space="0" w:sz="0" w:val="nil"/>
          <w:left w:space="0" w:sz="0" w:val="nil"/>
          <w:bottom w:space="0" w:sz="0" w:val="nil"/>
          <w:right w:space="0" w:sz="0" w:val="nil"/>
          <w:between w:space="0" w:sz="0" w:val="nil"/>
        </w:pBdr>
        <w:shd w:fill="auto" w:val="clear"/>
        <w:spacing w:after="60" w:before="240" w:line="276" w:lineRule="auto"/>
        <w:ind w:left="0" w:right="0" w:firstLine="0"/>
        <w:jc w:val="both"/>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Fonts w:ascii="Cambria" w:cs="Cambria" w:eastAsia="Cambria" w:hAnsi="Cambria"/>
          <w:b w:val="1"/>
          <w:i w:val="0"/>
          <w:smallCaps w:val="0"/>
          <w:strike w:val="0"/>
          <w:color w:val="000000"/>
          <w:sz w:val="32"/>
          <w:szCs w:val="32"/>
          <w:u w:val="none"/>
          <w:shd w:fill="auto" w:val="clear"/>
          <w:vertAlign w:val="baseline"/>
          <w:rtl w:val="0"/>
        </w:rPr>
        <w:t xml:space="preserve">Resultados</w:t>
      </w:r>
    </w:p>
    <w:p w:rsidR="00000000" w:rsidDel="00000000" w:rsidP="00000000" w:rsidRDefault="00000000" w:rsidRPr="00000000" w14:paraId="0000000D">
      <w:pPr>
        <w:jc w:val="both"/>
        <w:rPr>
          <w:vertAlign w:val="baseline"/>
        </w:rPr>
      </w:pPr>
      <w:r w:rsidDel="00000000" w:rsidR="00000000" w:rsidRPr="00000000">
        <w:rPr>
          <w:vertAlign w:val="baseline"/>
          <w:rtl w:val="0"/>
        </w:rPr>
        <w:t xml:space="preserve">Para el desarrollo y análisis del presente informe, se tuvo en cuenta la información de los inventarios de los equipos de uso actual, equipos de baja hasta el 30 de junio de 2020, análisis del consumo de equipos y el manejo del consumo de energía, con el objeto de identificar el grado de eficiencia de los computadores actuales a partir de la información primaria de la CGN.</w:t>
      </w:r>
    </w:p>
    <w:p w:rsidR="00000000" w:rsidDel="00000000" w:rsidP="00000000" w:rsidRDefault="00000000" w:rsidRPr="00000000" w14:paraId="0000000E">
      <w:pPr>
        <w:jc w:val="both"/>
        <w:rPr>
          <w:vertAlign w:val="baseline"/>
        </w:rPr>
      </w:pPr>
      <w:r w:rsidDel="00000000" w:rsidR="00000000" w:rsidRPr="00000000">
        <w:rPr>
          <w:vertAlign w:val="baseline"/>
          <w:rtl w:val="0"/>
        </w:rPr>
        <w:t xml:space="preserve">A continuación, se resume la información obtenida del seguimiento a los equipos de cómputo en la CGN para el primer semestre 2020.</w:t>
      </w:r>
    </w:p>
    <w:p w:rsidR="00000000" w:rsidDel="00000000" w:rsidP="00000000" w:rsidRDefault="00000000" w:rsidRPr="00000000" w14:paraId="0000000F">
      <w:pPr>
        <w:spacing w:after="0" w:line="240" w:lineRule="auto"/>
        <w:jc w:val="both"/>
        <w:rPr>
          <w:b w:val="0"/>
          <w:vertAlign w:val="baseline"/>
        </w:rPr>
      </w:pPr>
      <w:r w:rsidDel="00000000" w:rsidR="00000000" w:rsidRPr="00000000">
        <w:rPr>
          <w:b w:val="1"/>
          <w:vertAlign w:val="baseline"/>
          <w:rtl w:val="0"/>
        </w:rPr>
        <w:t xml:space="preserve">Inventario equipos dados de baja 2020</w:t>
      </w:r>
      <w:r w:rsidDel="00000000" w:rsidR="00000000" w:rsidRPr="00000000">
        <w:rPr>
          <w:rtl w:val="0"/>
        </w:rPr>
      </w:r>
    </w:p>
    <w:p w:rsidR="00000000" w:rsidDel="00000000" w:rsidP="00000000" w:rsidRDefault="00000000" w:rsidRPr="00000000" w14:paraId="00000010">
      <w:pPr>
        <w:spacing w:after="0" w:line="240" w:lineRule="auto"/>
        <w:jc w:val="both"/>
        <w:rPr>
          <w:vertAlign w:val="baseline"/>
        </w:rPr>
      </w:pPr>
      <w:r w:rsidDel="00000000" w:rsidR="00000000" w:rsidRPr="00000000">
        <w:rPr>
          <w:vertAlign w:val="baseline"/>
          <w:rtl w:val="0"/>
        </w:rPr>
        <w:t xml:space="preserve">A través del trabajo que desarrolla el proceso de Gestión TICS, en el primer semestre no se ha dado de baja ningún equipo.</w:t>
      </w:r>
    </w:p>
    <w:p w:rsidR="00000000" w:rsidDel="00000000" w:rsidP="00000000" w:rsidRDefault="00000000" w:rsidRPr="00000000" w14:paraId="00000011">
      <w:pPr>
        <w:spacing w:after="0" w:line="240" w:lineRule="auto"/>
        <w:jc w:val="both"/>
        <w:rPr>
          <w:vertAlign w:val="baseline"/>
        </w:rPr>
      </w:pPr>
      <w:r w:rsidDel="00000000" w:rsidR="00000000" w:rsidRPr="00000000">
        <w:rPr>
          <w:rtl w:val="0"/>
        </w:rPr>
      </w:r>
    </w:p>
    <w:p w:rsidR="00000000" w:rsidDel="00000000" w:rsidP="00000000" w:rsidRDefault="00000000" w:rsidRPr="00000000" w14:paraId="00000012">
      <w:pPr>
        <w:jc w:val="both"/>
        <w:rPr>
          <w:b w:val="0"/>
          <w:vertAlign w:val="baseline"/>
        </w:rPr>
      </w:pPr>
      <w:r w:rsidDel="00000000" w:rsidR="00000000" w:rsidRPr="00000000">
        <w:rPr>
          <w:b w:val="1"/>
          <w:vertAlign w:val="baseline"/>
          <w:rtl w:val="0"/>
        </w:rPr>
        <w:t xml:space="preserve">Tabla 1.  Resumen inventario equipos en uso (propios) 2020</w:t>
      </w:r>
      <w:r w:rsidDel="00000000" w:rsidR="00000000" w:rsidRPr="00000000">
        <w:rPr>
          <w:rtl w:val="0"/>
        </w:rPr>
      </w:r>
    </w:p>
    <w:p w:rsidR="00000000" w:rsidDel="00000000" w:rsidP="00000000" w:rsidRDefault="00000000" w:rsidRPr="00000000" w14:paraId="00000013">
      <w:pPr>
        <w:jc w:val="center"/>
        <w:rPr>
          <w:vertAlign w:val="baseline"/>
        </w:rPr>
      </w:pPr>
      <w:r w:rsidDel="00000000" w:rsidR="00000000" w:rsidRPr="00000000">
        <w:rPr>
          <w:vertAlign w:val="baseline"/>
        </w:rPr>
        <w:drawing>
          <wp:inline distB="0" distT="0" distL="114300" distR="114300">
            <wp:extent cx="3600450" cy="2867025"/>
            <wp:effectExtent b="0" l="0" r="0" t="0"/>
            <wp:docPr id="103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3600450" cy="286702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jc w:val="both"/>
        <w:rPr>
          <w:vertAlign w:val="baseline"/>
        </w:rPr>
      </w:pPr>
      <w:r w:rsidDel="00000000" w:rsidR="00000000" w:rsidRPr="00000000">
        <w:rPr>
          <w:rtl w:val="0"/>
        </w:rPr>
      </w:r>
    </w:p>
    <w:p w:rsidR="00000000" w:rsidDel="00000000" w:rsidP="00000000" w:rsidRDefault="00000000" w:rsidRPr="00000000" w14:paraId="00000015">
      <w:pPr>
        <w:jc w:val="both"/>
        <w:rPr>
          <w:vertAlign w:val="baseline"/>
        </w:rPr>
      </w:pPr>
      <w:r w:rsidDel="00000000" w:rsidR="00000000" w:rsidRPr="00000000">
        <w:rPr>
          <w:rtl w:val="0"/>
        </w:rPr>
      </w:r>
    </w:p>
    <w:p w:rsidR="00000000" w:rsidDel="00000000" w:rsidP="00000000" w:rsidRDefault="00000000" w:rsidRPr="00000000" w14:paraId="00000016">
      <w:pPr>
        <w:jc w:val="both"/>
        <w:rPr>
          <w:vertAlign w:val="baseline"/>
        </w:rPr>
      </w:pPr>
      <w:r w:rsidDel="00000000" w:rsidR="00000000" w:rsidRPr="00000000">
        <w:rPr>
          <w:rtl w:val="0"/>
        </w:rPr>
      </w:r>
    </w:p>
    <w:p w:rsidR="00000000" w:rsidDel="00000000" w:rsidP="00000000" w:rsidRDefault="00000000" w:rsidRPr="00000000" w14:paraId="00000017">
      <w:pPr>
        <w:jc w:val="both"/>
        <w:rPr>
          <w:vertAlign w:val="baseline"/>
        </w:rPr>
      </w:pPr>
      <w:r w:rsidDel="00000000" w:rsidR="00000000" w:rsidRPr="00000000">
        <w:rPr>
          <w:rtl w:val="0"/>
        </w:rPr>
      </w:r>
    </w:p>
    <w:p w:rsidR="00000000" w:rsidDel="00000000" w:rsidP="00000000" w:rsidRDefault="00000000" w:rsidRPr="00000000" w14:paraId="00000018">
      <w:pPr>
        <w:jc w:val="both"/>
        <w:rPr>
          <w:b w:val="1"/>
        </w:rPr>
      </w:pPr>
      <w:r w:rsidDel="00000000" w:rsidR="00000000" w:rsidRPr="00000000">
        <w:rPr>
          <w:rtl w:val="0"/>
        </w:rPr>
      </w:r>
    </w:p>
    <w:p w:rsidR="00000000" w:rsidDel="00000000" w:rsidP="00000000" w:rsidRDefault="00000000" w:rsidRPr="00000000" w14:paraId="00000019">
      <w:pPr>
        <w:jc w:val="both"/>
        <w:rPr>
          <w:b w:val="0"/>
          <w:vertAlign w:val="baseline"/>
        </w:rPr>
      </w:pPr>
      <w:r w:rsidDel="00000000" w:rsidR="00000000" w:rsidRPr="00000000">
        <w:rPr>
          <w:b w:val="1"/>
          <w:vertAlign w:val="baseline"/>
          <w:rtl w:val="0"/>
        </w:rPr>
        <w:t xml:space="preserve">Se evidencia que hay en existencia 2</w:t>
      </w:r>
      <w:r w:rsidDel="00000000" w:rsidR="00000000" w:rsidRPr="00000000">
        <w:rPr>
          <w:b w:val="1"/>
          <w:rtl w:val="0"/>
        </w:rPr>
        <w:t xml:space="preserve">86</w:t>
      </w:r>
      <w:r w:rsidDel="00000000" w:rsidR="00000000" w:rsidRPr="00000000">
        <w:rPr>
          <w:b w:val="1"/>
          <w:vertAlign w:val="baseline"/>
          <w:rtl w:val="0"/>
        </w:rPr>
        <w:t xml:space="preserve"> equipos en uso (propios) en la CGN para el año 2020,  este aumentó en comparación a diciembre de 2019,  es debido a que se realizó una adquisición de equipos de cómputo. </w:t>
      </w:r>
      <w:r w:rsidDel="00000000" w:rsidR="00000000" w:rsidRPr="00000000">
        <w:rPr>
          <w:rtl w:val="0"/>
        </w:rPr>
      </w:r>
    </w:p>
    <w:p w:rsidR="00000000" w:rsidDel="00000000" w:rsidP="00000000" w:rsidRDefault="00000000" w:rsidRPr="00000000" w14:paraId="0000001A">
      <w:pPr>
        <w:jc w:val="both"/>
        <w:rPr>
          <w:vertAlign w:val="baseline"/>
        </w:rPr>
      </w:pPr>
      <w:r w:rsidDel="00000000" w:rsidR="00000000" w:rsidRPr="00000000">
        <w:rPr>
          <w:vertAlign w:val="baseline"/>
          <w:rtl w:val="0"/>
        </w:rPr>
        <w:t xml:space="preserve">La CGN en diciembre de 2018 realizo una adquisición de  equipos de cómputo para el desarrollo de sus actividades, debido a que se tomó la decisión de adquirirlos dado que al hacer un análisis del consumo, se concluyó que se aumentarían los activos de la entidad pero se bajarían los costos. </w:t>
      </w:r>
    </w:p>
    <w:p w:rsidR="00000000" w:rsidDel="00000000" w:rsidP="00000000" w:rsidRDefault="00000000" w:rsidRPr="00000000" w14:paraId="0000001B">
      <w:pPr>
        <w:jc w:val="both"/>
        <w:rPr>
          <w:vertAlign w:val="baseline"/>
        </w:rPr>
      </w:pPr>
      <w:r w:rsidDel="00000000" w:rsidR="00000000" w:rsidRPr="00000000">
        <w:rPr>
          <w:vertAlign w:val="baseline"/>
          <w:rtl w:val="0"/>
        </w:rPr>
        <w:t xml:space="preserve">Para el año 2018, por medio de la orden de compra N°25572 realizada por Colombia Compra Eficiente se adquirió el servicio de 110 equipos en arrendamiento y para el año 2019 se adquirió como compra la cantidad de 110 equipos bajo la orden de compra N° 34760.</w:t>
      </w:r>
    </w:p>
    <w:p w:rsidR="00000000" w:rsidDel="00000000" w:rsidP="00000000" w:rsidRDefault="00000000" w:rsidRPr="00000000" w14:paraId="0000001C">
      <w:pPr>
        <w:jc w:val="both"/>
        <w:rPr>
          <w:vertAlign w:val="baseline"/>
        </w:rPr>
      </w:pPr>
      <w:r w:rsidDel="00000000" w:rsidR="00000000" w:rsidRPr="00000000">
        <w:rPr>
          <w:vertAlign w:val="baseline"/>
          <w:rtl w:val="0"/>
        </w:rPr>
        <w:t xml:space="preserve">Se evidencio que para diciembre de 2019 que se Adquirieron 3 equipos con especificaciones especiales para actividades de diseño y otras.</w:t>
      </w:r>
    </w:p>
    <w:p w:rsidR="00000000" w:rsidDel="00000000" w:rsidP="00000000" w:rsidRDefault="00000000" w:rsidRPr="00000000" w14:paraId="0000001D">
      <w:pPr>
        <w:jc w:val="both"/>
        <w:rPr>
          <w:vertAlign w:val="baseline"/>
        </w:rPr>
      </w:pPr>
      <w:r w:rsidDel="00000000" w:rsidR="00000000" w:rsidRPr="00000000">
        <w:rPr>
          <w:vertAlign w:val="baseline"/>
        </w:rPr>
        <w:drawing>
          <wp:inline distB="0" distT="0" distL="114300" distR="114300">
            <wp:extent cx="5398135" cy="762635"/>
            <wp:effectExtent b="0" l="0" r="0" t="0"/>
            <wp:docPr id="1032"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5398135" cy="76263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keepNext w:val="1"/>
        <w:keepLines w:val="0"/>
        <w:widowControl w:val="1"/>
        <w:pBdr>
          <w:top w:space="0" w:sz="0" w:val="nil"/>
          <w:left w:space="0" w:sz="0" w:val="nil"/>
          <w:bottom w:space="0" w:sz="0" w:val="nil"/>
          <w:right w:space="0" w:sz="0" w:val="nil"/>
          <w:between w:space="0" w:sz="0" w:val="nil"/>
        </w:pBdr>
        <w:shd w:fill="auto" w:val="clear"/>
        <w:spacing w:after="60" w:before="240" w:line="276" w:lineRule="auto"/>
        <w:ind w:left="0" w:right="0" w:firstLine="0"/>
        <w:jc w:val="both"/>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Fonts w:ascii="Cambria" w:cs="Cambria" w:eastAsia="Cambria" w:hAnsi="Cambria"/>
          <w:b w:val="1"/>
          <w:i w:val="0"/>
          <w:smallCaps w:val="0"/>
          <w:strike w:val="0"/>
          <w:color w:val="000000"/>
          <w:sz w:val="32"/>
          <w:szCs w:val="32"/>
          <w:u w:val="none"/>
          <w:shd w:fill="auto" w:val="clear"/>
          <w:vertAlign w:val="baseline"/>
          <w:rtl w:val="0"/>
        </w:rPr>
        <w:t xml:space="preserve">Conclusiones</w:t>
      </w:r>
    </w:p>
    <w:p w:rsidR="00000000" w:rsidDel="00000000" w:rsidP="00000000" w:rsidRDefault="00000000" w:rsidRPr="00000000" w14:paraId="0000001F">
      <w:pPr>
        <w:numPr>
          <w:ilvl w:val="0"/>
          <w:numId w:val="1"/>
        </w:numPr>
        <w:ind w:left="720" w:hanging="360"/>
        <w:jc w:val="both"/>
        <w:rPr>
          <w:vertAlign w:val="baseline"/>
        </w:rPr>
      </w:pPr>
      <w:r w:rsidDel="00000000" w:rsidR="00000000" w:rsidRPr="00000000">
        <w:rPr>
          <w:vertAlign w:val="baseline"/>
          <w:rtl w:val="0"/>
        </w:rPr>
        <w:t xml:space="preserve">Se evidenció un aumento de equipos propios debido a que en este Inventario se actualizo,  incluyendo los equipos portátiles.</w:t>
      </w:r>
    </w:p>
    <w:p w:rsidR="00000000" w:rsidDel="00000000" w:rsidP="00000000" w:rsidRDefault="00000000" w:rsidRPr="00000000" w14:paraId="00000020">
      <w:pPr>
        <w:numPr>
          <w:ilvl w:val="0"/>
          <w:numId w:val="1"/>
        </w:numPr>
        <w:ind w:left="720" w:hanging="360"/>
        <w:jc w:val="both"/>
        <w:rPr>
          <w:vertAlign w:val="baseline"/>
        </w:rPr>
      </w:pPr>
      <w:r w:rsidDel="00000000" w:rsidR="00000000" w:rsidRPr="00000000">
        <w:rPr>
          <w:vertAlign w:val="baseline"/>
          <w:rtl w:val="0"/>
        </w:rPr>
        <w:t xml:space="preserve"> El beneficio de comprar los equipos de cómputo para la realización de las actividades de la CGN, es que permite exigir requerimientos de equipos tecnológicamente avanzados, con mayor eficiencia en el consumo energético y mayor rendimiento para el desarrollo de los productos ofrecidos por la CGN.</w:t>
      </w:r>
    </w:p>
    <w:p w:rsidR="00000000" w:rsidDel="00000000" w:rsidP="00000000" w:rsidRDefault="00000000" w:rsidRPr="00000000" w14:paraId="00000021">
      <w:pPr>
        <w:numPr>
          <w:ilvl w:val="0"/>
          <w:numId w:val="1"/>
        </w:numPr>
        <w:ind w:left="720" w:hanging="360"/>
        <w:jc w:val="both"/>
        <w:rPr>
          <w:vertAlign w:val="baseline"/>
        </w:rPr>
      </w:pPr>
      <w:r w:rsidDel="00000000" w:rsidR="00000000" w:rsidRPr="00000000">
        <w:rPr>
          <w:vertAlign w:val="baseline"/>
          <w:rtl w:val="0"/>
        </w:rPr>
        <w:t xml:space="preserve">Dentro de los requerimientos de contratación de la compra de equipos  en el Anexo de Ficha Técnica se evidenció en la columna de características él (Manejo consumo de energía) que los equipos de cómputo deben tener un consumo eficiente de electricidad bajo los estándares de CPU: Energy Star certificación Versión 6.1 o superior, Monitor: Energy Star certificación Versión 7.0  o superior, Alimentación: Fuente de poder Certificación 80 PLUS.</w:t>
      </w:r>
    </w:p>
    <w:p w:rsidR="00000000" w:rsidDel="00000000" w:rsidP="00000000" w:rsidRDefault="00000000" w:rsidRPr="00000000" w14:paraId="00000022">
      <w:pPr>
        <w:numPr>
          <w:ilvl w:val="0"/>
          <w:numId w:val="1"/>
        </w:numPr>
        <w:ind w:left="720" w:hanging="360"/>
        <w:rPr>
          <w:vertAlign w:val="baseline"/>
        </w:rPr>
      </w:pPr>
      <w:r w:rsidDel="00000000" w:rsidR="00000000" w:rsidRPr="00000000">
        <w:rPr>
          <w:vertAlign w:val="baseline"/>
          <w:rtl w:val="0"/>
        </w:rPr>
        <w:t xml:space="preserve">En la ficha técnica de los equipos adquiridos se evidencia que en el año 2018 version de  Energy Star es ( V 5.2 o superior) y en los equipos adquiridos su versión es de ( 7.0 o superior) se identifica que es la versión actualizada a 2019. </w:t>
      </w:r>
    </w:p>
    <w:p w:rsidR="00000000" w:rsidDel="00000000" w:rsidP="00000000" w:rsidRDefault="00000000" w:rsidRPr="00000000" w14:paraId="00000023">
      <w:pPr>
        <w:numPr>
          <w:ilvl w:val="0"/>
          <w:numId w:val="1"/>
        </w:numPr>
        <w:ind w:left="720" w:hanging="360"/>
        <w:jc w:val="both"/>
        <w:rPr>
          <w:vertAlign w:val="baseline"/>
        </w:rPr>
      </w:pPr>
      <w:r w:rsidDel="00000000" w:rsidR="00000000" w:rsidRPr="00000000">
        <w:rPr>
          <w:vertAlign w:val="baseline"/>
          <w:rtl w:val="0"/>
        </w:rPr>
        <w:t xml:space="preserve">El beneficio para la CGN es de disminuir costos aunque se aumenten los activos, esto se puede ver ya que en el alquiler de los 110 equipos del año 2018 tuvo un valor de$136.117.174,00 a comparación con la compra adquirida también con una cantidad de  110 equipos en diciembre de 2018 para la actividad de 2019 tuvo un valor de $219.939.570,80 con una posible duración en actividad de 3 años, esto concluye a un ahorro de aproximadamente $188.000.000,00 millones de pesos en los 3 años.</w:t>
      </w:r>
    </w:p>
    <w:p w:rsidR="00000000" w:rsidDel="00000000" w:rsidP="00000000" w:rsidRDefault="00000000" w:rsidRPr="00000000" w14:paraId="00000024">
      <w:pPr>
        <w:jc w:val="both"/>
        <w:rPr>
          <w:vertAlign w:val="baseline"/>
        </w:rPr>
      </w:pPr>
      <w:r w:rsidDel="00000000" w:rsidR="00000000" w:rsidRPr="00000000">
        <w:rPr>
          <w:vertAlign w:val="baseline"/>
          <w:rtl w:val="0"/>
        </w:rPr>
        <w:t xml:space="preserve">Documentos Anexos: - Análisis consumo de energía,  inventario equipos propios, - Ficha técnica compra de equipos, - Orden de Compra 34760-2019.</w:t>
      </w:r>
    </w:p>
    <w:p w:rsidR="00000000" w:rsidDel="00000000" w:rsidP="00000000" w:rsidRDefault="00000000" w:rsidRPr="00000000" w14:paraId="00000025">
      <w:pPr>
        <w:spacing w:after="0" w:line="240" w:lineRule="auto"/>
        <w:jc w:val="both"/>
        <w:rPr>
          <w:sz w:val="18"/>
          <w:szCs w:val="18"/>
          <w:vertAlign w:val="baseline"/>
        </w:rPr>
      </w:pPr>
      <w:r w:rsidDel="00000000" w:rsidR="00000000" w:rsidRPr="00000000">
        <w:rPr>
          <w:rtl w:val="0"/>
        </w:rPr>
      </w:r>
    </w:p>
    <w:p w:rsidR="00000000" w:rsidDel="00000000" w:rsidP="00000000" w:rsidRDefault="00000000" w:rsidRPr="00000000" w14:paraId="00000026">
      <w:pPr>
        <w:spacing w:after="0" w:line="240" w:lineRule="auto"/>
        <w:jc w:val="both"/>
        <w:rPr>
          <w:vertAlign w:val="baseline"/>
        </w:rPr>
      </w:pPr>
      <w:r w:rsidDel="00000000" w:rsidR="00000000" w:rsidRPr="00000000">
        <w:rPr>
          <w:sz w:val="18"/>
          <w:szCs w:val="18"/>
          <w:vertAlign w:val="baseline"/>
          <w:rtl w:val="0"/>
        </w:rPr>
        <w:t xml:space="preserve">Proyecto: Nazly Jineth Moreno O.</w:t>
      </w:r>
      <w:r w:rsidDel="00000000" w:rsidR="00000000" w:rsidRPr="00000000">
        <w:rPr>
          <w:rtl w:val="0"/>
        </w:rPr>
      </w:r>
    </w:p>
    <w:p w:rsidR="00000000" w:rsidDel="00000000" w:rsidP="00000000" w:rsidRDefault="00000000" w:rsidRPr="00000000" w14:paraId="00000027">
      <w:pPr>
        <w:spacing w:after="0" w:line="240" w:lineRule="auto"/>
        <w:jc w:val="both"/>
        <w:rPr>
          <w:vertAlign w:val="baseline"/>
        </w:rPr>
      </w:pPr>
      <w:r w:rsidDel="00000000" w:rsidR="00000000" w:rsidRPr="00000000">
        <w:rPr>
          <w:sz w:val="18"/>
          <w:szCs w:val="18"/>
          <w:vertAlign w:val="baseline"/>
          <w:rtl w:val="0"/>
        </w:rPr>
        <w:t xml:space="preserve">Aprobó: Gustavo Gonzalez.</w:t>
      </w:r>
      <w:r w:rsidDel="00000000" w:rsidR="00000000" w:rsidRPr="00000000">
        <w:rPr>
          <w:rtl w:val="0"/>
        </w:rPr>
      </w:r>
    </w:p>
    <w:p w:rsidR="00000000" w:rsidDel="00000000" w:rsidP="00000000" w:rsidRDefault="00000000" w:rsidRPr="00000000" w14:paraId="00000028">
      <w:pPr>
        <w:ind w:left="720" w:firstLine="0"/>
        <w:rPr>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pgMar w:bottom="1417" w:top="2232" w:left="1701" w:right="1701" w:header="426" w:footer="7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Courier New"/>
  <w:font w:name="Bookman Old Style"/>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spacing w:after="0" w:line="240" w:lineRule="auto"/>
      <w:rPr>
        <w:sz w:val="20"/>
        <w:szCs w:val="20"/>
        <w:vertAlign w:val="baseline"/>
      </w:rPr>
    </w:pPr>
    <w:r w:rsidDel="00000000" w:rsidR="00000000" w:rsidRPr="00000000">
      <w:rPr>
        <w:sz w:val="20"/>
        <w:szCs w:val="20"/>
        <w:vertAlign w:val="baseline"/>
        <w:rtl w:val="0"/>
      </w:rPr>
      <w:t xml:space="preserve">____________________________________________________________________________________</w:t>
    </w:r>
  </w:p>
  <w:p w:rsidR="00000000" w:rsidDel="00000000" w:rsidP="00000000" w:rsidRDefault="00000000" w:rsidRPr="00000000" w14:paraId="00000031">
    <w:pPr>
      <w:spacing w:after="0" w:line="240" w:lineRule="auto"/>
      <w:jc w:val="center"/>
      <w:rPr>
        <w:sz w:val="20"/>
        <w:szCs w:val="20"/>
        <w:vertAlign w:val="baseline"/>
      </w:rPr>
    </w:pPr>
    <w:r w:rsidDel="00000000" w:rsidR="00000000" w:rsidRPr="00000000">
      <w:rPr>
        <w:sz w:val="20"/>
        <w:szCs w:val="20"/>
        <w:vertAlign w:val="baseline"/>
        <w:rtl w:val="0"/>
      </w:rPr>
      <w:t xml:space="preserve">“Cuentas Claras, Estado Transparente”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273040" cy="968375"/>
          <wp:effectExtent b="0" l="0" r="0" t="0"/>
          <wp:wrapNone/>
          <wp:docPr id="102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273040" cy="96837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spacing w:after="0" w:line="240" w:lineRule="auto"/>
      <w:ind w:right="-6"/>
      <w:jc w:val="right"/>
      <w:rPr>
        <w:rFonts w:ascii="Bookman Old Style" w:cs="Bookman Old Style" w:eastAsia="Bookman Old Style" w:hAnsi="Bookman Old Style"/>
        <w:i w:val="0"/>
        <w:sz w:val="20"/>
        <w:szCs w:val="20"/>
        <w:vertAlign w:val="baseline"/>
      </w:rPr>
    </w:pPr>
    <w:r w:rsidDel="00000000" w:rsidR="00000000" w:rsidRPr="00000000">
      <w:rPr>
        <w:rFonts w:ascii="Bookman Old Style" w:cs="Bookman Old Style" w:eastAsia="Bookman Old Style" w:hAnsi="Bookman Old Style"/>
        <w:i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2C">
    <w:pPr>
      <w:spacing w:after="0" w:line="240" w:lineRule="auto"/>
      <w:ind w:right="-6"/>
      <w:jc w:val="center"/>
      <w:rPr>
        <w:b w:val="0"/>
        <w:sz w:val="24"/>
        <w:szCs w:val="24"/>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-817879</wp:posOffset>
          </wp:positionH>
          <wp:positionV relativeFrom="paragraph">
            <wp:posOffset>635</wp:posOffset>
          </wp:positionV>
          <wp:extent cx="7102475" cy="506095"/>
          <wp:effectExtent b="0" l="0" r="0" t="0"/>
          <wp:wrapSquare wrapText="bothSides" distB="0" distT="0" distL="114300" distR="114300"/>
          <wp:docPr id="103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102475" cy="506095"/>
                  </a:xfrm>
                  <a:prstGeom prst="rect"/>
                  <a:ln/>
                </pic:spPr>
              </pic:pic>
            </a:graphicData>
          </a:graphic>
        </wp:anchor>
      </w:drawing>
    </w:r>
  </w:p>
  <w:p w:rsidR="00000000" w:rsidDel="00000000" w:rsidP="00000000" w:rsidRDefault="00000000" w:rsidRPr="00000000" w14:paraId="0000002D">
    <w:pPr>
      <w:widowControl w:val="0"/>
      <w:spacing w:after="0" w:line="240" w:lineRule="auto"/>
      <w:jc w:val="center"/>
      <w:rPr>
        <w:b w:val="0"/>
        <w:i w:val="0"/>
        <w:sz w:val="24"/>
        <w:szCs w:val="24"/>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-660399</wp:posOffset>
              </wp:positionH>
              <wp:positionV relativeFrom="paragraph">
                <wp:posOffset>571500</wp:posOffset>
              </wp:positionV>
              <wp:extent cx="7000875" cy="19050"/>
              <wp:effectExtent b="0" l="0" r="0" t="0"/>
              <wp:wrapNone/>
              <wp:docPr id="1028" name=""/>
              <a:graphic>
                <a:graphicData uri="http://schemas.microsoft.com/office/word/2010/wordprocessingShape">
                  <wps:wsp>
                    <wps:cNvCnPr/>
                    <wps:spPr>
                      <a:xfrm>
                        <a:off x="1845563" y="3779683"/>
                        <a:ext cx="7000875" cy="635"/>
                      </a:xfrm>
                      <a:prstGeom prst="straightConnector1">
                        <a:avLst/>
                      </a:prstGeom>
                      <a:solidFill>
                        <a:srgbClr val="FFFFFF"/>
                      </a:solidFill>
                      <a:ln cap="flat" cmpd="sng" w="19050">
                        <a:solidFill>
                          <a:srgbClr val="7F7F7F"/>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-660399</wp:posOffset>
              </wp:positionH>
              <wp:positionV relativeFrom="paragraph">
                <wp:posOffset>571500</wp:posOffset>
              </wp:positionV>
              <wp:extent cx="7000875" cy="19050"/>
              <wp:effectExtent b="0" l="0" r="0" t="0"/>
              <wp:wrapNone/>
              <wp:docPr id="1028"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000875" cy="19050"/>
                      </a:xfrm>
                      <a:prstGeom prst="rect"/>
                      <a:ln/>
                    </pic:spPr>
                  </pic:pic>
                </a:graphicData>
              </a:graphic>
            </wp:anchor>
          </w:drawing>
        </mc:Fallback>
      </mc:AlternateConten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ES"/>
    </w:rPr>
  </w:style>
  <w:style w:type="paragraph" w:styleId="Título1">
    <w:name w:val="Título 1"/>
    <w:basedOn w:val="Normal"/>
    <w:next w:val="Normal"/>
    <w:autoRedefine w:val="0"/>
    <w:hidden w:val="0"/>
    <w:qFormat w:val="0"/>
    <w:pPr>
      <w:keepNext w:val="1"/>
      <w:suppressAutoHyphens w:val="1"/>
      <w:spacing w:after="60" w:before="240" w:line="276" w:lineRule="auto"/>
      <w:ind w:leftChars="-1" w:rightChars="0" w:firstLineChars="-1"/>
      <w:textDirection w:val="btLr"/>
      <w:textAlignment w:val="top"/>
      <w:outlineLvl w:val="0"/>
    </w:pPr>
    <w:rPr>
      <w:rFonts w:ascii="Cambria" w:eastAsia="Times New Roman" w:hAnsi="Cambria"/>
      <w:b w:val="1"/>
      <w:bCs w:val="1"/>
      <w:w w:val="100"/>
      <w:kern w:val="32"/>
      <w:position w:val="-1"/>
      <w:sz w:val="32"/>
      <w:szCs w:val="32"/>
      <w:effect w:val="none"/>
      <w:vertAlign w:val="baseline"/>
      <w:cs w:val="0"/>
      <w:em w:val="none"/>
      <w:lang w:bidi="ar-SA" w:eastAsia="en-US" w:val="und"/>
    </w:rPr>
  </w:style>
  <w:style w:type="paragraph" w:styleId="Título2">
    <w:name w:val="Título 2"/>
    <w:basedOn w:val="Normal"/>
    <w:next w:val="Normal"/>
    <w:autoRedefine w:val="0"/>
    <w:hidden w:val="0"/>
    <w:qFormat w:val="1"/>
    <w:pPr>
      <w:keepNext w:val="1"/>
      <w:suppressAutoHyphens w:val="1"/>
      <w:spacing w:after="60" w:before="240" w:line="276" w:lineRule="auto"/>
      <w:ind w:leftChars="-1" w:rightChars="0" w:firstLineChars="-1"/>
      <w:textDirection w:val="btLr"/>
      <w:textAlignment w:val="top"/>
      <w:outlineLvl w:val="1"/>
    </w:pPr>
    <w:rPr>
      <w:rFonts w:ascii="Cambria" w:eastAsia="Times New Roman" w:hAnsi="Cambria"/>
      <w:b w:val="1"/>
      <w:bCs w:val="1"/>
      <w:i w:val="1"/>
      <w:iCs w:val="1"/>
      <w:w w:val="100"/>
      <w:position w:val="-1"/>
      <w:sz w:val="28"/>
      <w:szCs w:val="28"/>
      <w:effect w:val="none"/>
      <w:vertAlign w:val="baseline"/>
      <w:cs w:val="0"/>
      <w:em w:val="none"/>
      <w:lang w:bidi="ar-SA" w:eastAsia="en-US" w:val="und"/>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Encabezado">
    <w:name w:val="Encabezado"/>
    <w:basedOn w:val="Normal"/>
    <w:next w:val="Encabezado"/>
    <w:autoRedefine w:val="0"/>
    <w:hidden w:val="0"/>
    <w:qFormat w:val="1"/>
    <w:pPr>
      <w:tabs>
        <w:tab w:val="center" w:leader="none" w:pos="4252"/>
        <w:tab w:val="right" w:leader="none" w:pos="8504"/>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nd"/>
    </w:rPr>
  </w:style>
  <w:style w:type="character" w:styleId="EncabezadoCar">
    <w:name w:val="Encabezado Car"/>
    <w:next w:val="EncabezadoCar"/>
    <w:autoRedefine w:val="0"/>
    <w:hidden w:val="0"/>
    <w:qFormat w:val="0"/>
    <w:rPr>
      <w:w w:val="100"/>
      <w:position w:val="-1"/>
      <w:sz w:val="22"/>
      <w:szCs w:val="22"/>
      <w:effect w:val="none"/>
      <w:vertAlign w:val="baseline"/>
      <w:cs w:val="0"/>
      <w:em w:val="none"/>
      <w:lang w:eastAsia="en-US"/>
    </w:rPr>
  </w:style>
  <w:style w:type="paragraph" w:styleId="Piedepágina">
    <w:name w:val="Pie de página"/>
    <w:basedOn w:val="Normal"/>
    <w:next w:val="Piedepágina"/>
    <w:autoRedefine w:val="0"/>
    <w:hidden w:val="0"/>
    <w:qFormat w:val="1"/>
    <w:pPr>
      <w:tabs>
        <w:tab w:val="center" w:leader="none" w:pos="4252"/>
        <w:tab w:val="right" w:leader="none" w:pos="8504"/>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nd"/>
    </w:rPr>
  </w:style>
  <w:style w:type="character" w:styleId="PiedepáginaCar">
    <w:name w:val="Pie de página Car"/>
    <w:next w:val="PiedepáginaCar"/>
    <w:autoRedefine w:val="0"/>
    <w:hidden w:val="0"/>
    <w:qFormat w:val="0"/>
    <w:rPr>
      <w:w w:val="100"/>
      <w:position w:val="-1"/>
      <w:sz w:val="22"/>
      <w:szCs w:val="22"/>
      <w:effect w:val="none"/>
      <w:vertAlign w:val="baseline"/>
      <w:cs w:val="0"/>
      <w:em w:val="none"/>
      <w:lang w:eastAsia="en-US"/>
    </w:rPr>
  </w:style>
  <w:style w:type="character" w:styleId="Título1Car">
    <w:name w:val="Título 1 Car"/>
    <w:next w:val="Título1Car"/>
    <w:autoRedefine w:val="0"/>
    <w:hidden w:val="0"/>
    <w:qFormat w:val="0"/>
    <w:rPr>
      <w:rFonts w:ascii="Cambria" w:cs="Times New Roman" w:eastAsia="Times New Roman" w:hAnsi="Cambria"/>
      <w:b w:val="1"/>
      <w:bCs w:val="1"/>
      <w:w w:val="100"/>
      <w:kern w:val="32"/>
      <w:position w:val="-1"/>
      <w:sz w:val="32"/>
      <w:szCs w:val="32"/>
      <w:effect w:val="none"/>
      <w:vertAlign w:val="baseline"/>
      <w:cs w:val="0"/>
      <w:em w:val="none"/>
      <w:lang w:eastAsia="en-US"/>
    </w:rPr>
  </w:style>
  <w:style w:type="character" w:styleId="Título2Car">
    <w:name w:val="Título 2 Car"/>
    <w:next w:val="Título2Car"/>
    <w:autoRedefine w:val="0"/>
    <w:hidden w:val="0"/>
    <w:qFormat w:val="0"/>
    <w:rPr>
      <w:rFonts w:ascii="Cambria" w:cs="Times New Roman" w:eastAsia="Times New Roman" w:hAnsi="Cambria"/>
      <w:b w:val="1"/>
      <w:bCs w:val="1"/>
      <w:i w:val="1"/>
      <w:iCs w:val="1"/>
      <w:w w:val="100"/>
      <w:position w:val="-1"/>
      <w:sz w:val="28"/>
      <w:szCs w:val="28"/>
      <w:effect w:val="none"/>
      <w:vertAlign w:val="baseline"/>
      <w:cs w:val="0"/>
      <w:em w:val="none"/>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mTZU66h4RfEtXTyGgzWJknGrug==">AMUW2mUTB75V5CyVbrGwcFWGOEwP42ZXvlZM2+n8WJFbKLGum/LveAhznaAmLkdpUapWesFH3zoH/2BIEbBMr4Vyn92Yepf/JHibLJZGpDwzplom9oOIfLY=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2018-02-09T20:41:00Z</dcterms:created>
  <dc:creator>David Fernando Pacheco Rodriguez</dc:creator>
</cp:coreProperties>
</file>