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8F98" w14:textId="434E1441" w:rsidR="00EB28CF" w:rsidRPr="00641BC8" w:rsidRDefault="00EB28CF" w:rsidP="002A7513">
      <w:pPr>
        <w:spacing w:before="240" w:line="240" w:lineRule="auto"/>
        <w:jc w:val="center"/>
        <w:rPr>
          <w:rFonts w:ascii="Verdana" w:hAnsi="Verdana"/>
          <w:b/>
          <w:bCs/>
        </w:rPr>
      </w:pPr>
      <w:r w:rsidRPr="00641BC8">
        <w:rPr>
          <w:rFonts w:ascii="Verdana" w:hAnsi="Verdana"/>
          <w:b/>
          <w:bCs/>
        </w:rPr>
        <w:t>U. A. E. CONTADURÍA GENERAL DE LA NACIÓN</w:t>
      </w:r>
    </w:p>
    <w:p w14:paraId="69016F77" w14:textId="77777777" w:rsidR="00641BC8" w:rsidRPr="00641BC8" w:rsidRDefault="00641BC8" w:rsidP="002A7513">
      <w:pPr>
        <w:spacing w:before="240" w:line="240" w:lineRule="auto"/>
        <w:jc w:val="center"/>
        <w:rPr>
          <w:rFonts w:ascii="Verdana" w:hAnsi="Verdana"/>
          <w:b/>
          <w:bCs/>
        </w:rPr>
      </w:pPr>
    </w:p>
    <w:p w14:paraId="335192DE" w14:textId="763DBDF8" w:rsidR="00EB28CF" w:rsidRPr="00641BC8" w:rsidRDefault="00EB28CF" w:rsidP="002A7513">
      <w:pPr>
        <w:spacing w:before="240" w:line="240" w:lineRule="auto"/>
        <w:jc w:val="center"/>
        <w:rPr>
          <w:rFonts w:ascii="Verdana" w:hAnsi="Verdana"/>
          <w:b/>
          <w:bCs/>
        </w:rPr>
      </w:pPr>
      <w:r w:rsidRPr="00641BC8">
        <w:rPr>
          <w:rFonts w:ascii="Verdana" w:hAnsi="Verdana"/>
          <w:b/>
          <w:bCs/>
        </w:rPr>
        <w:t>RESOLUCIÓN No.</w:t>
      </w:r>
      <w:r w:rsidR="00557159" w:rsidRPr="00641BC8">
        <w:rPr>
          <w:rFonts w:ascii="Verdana" w:hAnsi="Verdana"/>
          <w:b/>
          <w:bCs/>
        </w:rPr>
        <w:t xml:space="preserve"> </w:t>
      </w:r>
      <w:r w:rsidR="005D1D7B">
        <w:rPr>
          <w:rFonts w:ascii="Verdana" w:hAnsi="Verdana"/>
          <w:b/>
          <w:bCs/>
          <w:color w:val="C00000"/>
        </w:rPr>
        <w:t>#####</w:t>
      </w:r>
    </w:p>
    <w:p w14:paraId="4577B197" w14:textId="71B9FC6A" w:rsidR="00EB28CF" w:rsidRDefault="00EB28CF" w:rsidP="002A7513">
      <w:pPr>
        <w:spacing w:before="240" w:line="240" w:lineRule="auto"/>
        <w:jc w:val="center"/>
        <w:rPr>
          <w:rFonts w:ascii="Verdana" w:hAnsi="Verdana"/>
          <w:b/>
          <w:bCs/>
        </w:rPr>
      </w:pPr>
      <w:r w:rsidRPr="00641BC8">
        <w:rPr>
          <w:rFonts w:ascii="Verdana" w:hAnsi="Verdana"/>
          <w:b/>
          <w:bCs/>
        </w:rPr>
        <w:t>(</w:t>
      </w:r>
      <w:proofErr w:type="spellStart"/>
      <w:r w:rsidR="00CB3AE6" w:rsidRPr="0027272F">
        <w:rPr>
          <w:rFonts w:ascii="Verdana" w:hAnsi="Verdana"/>
          <w:b/>
          <w:bCs/>
          <w:color w:val="C00000"/>
        </w:rPr>
        <w:t>xxx</w:t>
      </w:r>
      <w:proofErr w:type="spellEnd"/>
      <w:r w:rsidR="00454E0E">
        <w:rPr>
          <w:rFonts w:ascii="Verdana" w:hAnsi="Verdana"/>
          <w:b/>
          <w:bCs/>
        </w:rPr>
        <w:t xml:space="preserve"> </w:t>
      </w:r>
      <w:r w:rsidRPr="00641BC8">
        <w:rPr>
          <w:rFonts w:ascii="Verdana" w:hAnsi="Verdana"/>
          <w:b/>
          <w:bCs/>
        </w:rPr>
        <w:t xml:space="preserve">de </w:t>
      </w:r>
      <w:r w:rsidR="004A7276">
        <w:rPr>
          <w:rFonts w:ascii="Verdana" w:hAnsi="Verdana"/>
          <w:b/>
          <w:bCs/>
        </w:rPr>
        <w:t xml:space="preserve">febrero </w:t>
      </w:r>
      <w:r w:rsidRPr="00641BC8">
        <w:rPr>
          <w:rFonts w:ascii="Verdana" w:hAnsi="Verdana"/>
          <w:b/>
          <w:bCs/>
        </w:rPr>
        <w:t xml:space="preserve">de </w:t>
      </w:r>
      <w:r w:rsidR="003F5DC6">
        <w:rPr>
          <w:rFonts w:ascii="Verdana" w:hAnsi="Verdana"/>
          <w:b/>
          <w:bCs/>
        </w:rPr>
        <w:t>202</w:t>
      </w:r>
      <w:r w:rsidR="004A7276">
        <w:rPr>
          <w:rFonts w:ascii="Verdana" w:hAnsi="Verdana"/>
          <w:b/>
          <w:bCs/>
        </w:rPr>
        <w:t>4</w:t>
      </w:r>
      <w:r w:rsidRPr="00641BC8">
        <w:rPr>
          <w:rFonts w:ascii="Verdana" w:hAnsi="Verdana"/>
          <w:b/>
          <w:bCs/>
        </w:rPr>
        <w:t>)</w:t>
      </w:r>
    </w:p>
    <w:p w14:paraId="2BAD469F" w14:textId="6FFEAE4A" w:rsidR="00DB1E4A" w:rsidRPr="0027272F" w:rsidRDefault="00301433" w:rsidP="002A7513">
      <w:pPr>
        <w:widowControl w:val="0"/>
        <w:spacing w:before="240" w:line="240" w:lineRule="auto"/>
        <w:jc w:val="center"/>
        <w:rPr>
          <w:rFonts w:ascii="Verdana" w:eastAsia="Verdana" w:hAnsi="Verdana" w:cs="Verdana"/>
        </w:rPr>
      </w:pPr>
      <w:bookmarkStart w:id="0" w:name="_heading=h.30j0zll" w:colFirst="0" w:colLast="0"/>
      <w:bookmarkStart w:id="1" w:name="_Hlk146808240"/>
      <w:bookmarkEnd w:id="0"/>
      <w:r w:rsidRPr="0027272F">
        <w:rPr>
          <w:rFonts w:ascii="Verdana" w:eastAsia="Verdana" w:hAnsi="Verdana" w:cs="Verdana"/>
        </w:rPr>
        <w:t>“</w:t>
      </w:r>
      <w:r w:rsidR="00DB1E4A" w:rsidRPr="0027272F">
        <w:rPr>
          <w:rFonts w:ascii="Verdana" w:eastAsia="Verdana" w:hAnsi="Verdana" w:cs="Verdana"/>
        </w:rPr>
        <w:t>Por la cual se</w:t>
      </w:r>
      <w:r w:rsidR="001E5A06" w:rsidRPr="0027272F">
        <w:rPr>
          <w:rFonts w:ascii="Verdana" w:eastAsia="Verdana" w:hAnsi="Verdana" w:cs="Verdana"/>
        </w:rPr>
        <w:t xml:space="preserve"> modifica el parágrafo 3 del artículo 6 de la </w:t>
      </w:r>
      <w:r w:rsidR="004A7276" w:rsidRPr="0027272F">
        <w:rPr>
          <w:rFonts w:ascii="Verdana" w:eastAsia="Verdana" w:hAnsi="Verdana" w:cs="Verdana"/>
        </w:rPr>
        <w:t xml:space="preserve">Resolución No. 411 de 2023 </w:t>
      </w:r>
      <w:r w:rsidR="005D1D7B" w:rsidRPr="0027272F">
        <w:rPr>
          <w:rFonts w:ascii="Verdana" w:eastAsia="Verdana" w:hAnsi="Verdana" w:cs="Verdana"/>
        </w:rPr>
        <w:t>y se derogan las Resoluciones 441 de 2019 y 193 de 2020</w:t>
      </w:r>
      <w:r w:rsidRPr="0027272F">
        <w:rPr>
          <w:rFonts w:ascii="Verdana" w:eastAsia="Verdana" w:hAnsi="Verdana" w:cs="Verdana"/>
        </w:rPr>
        <w:t>”.</w:t>
      </w:r>
    </w:p>
    <w:bookmarkEnd w:id="1"/>
    <w:p w14:paraId="00C7F739" w14:textId="60AEAEBB" w:rsidR="00641BC8" w:rsidRDefault="00DB1E4A" w:rsidP="002A7513">
      <w:pPr>
        <w:widowControl w:val="0"/>
        <w:spacing w:before="240" w:line="240" w:lineRule="auto"/>
        <w:jc w:val="center"/>
        <w:rPr>
          <w:rFonts w:ascii="Verdana" w:eastAsia="Verdana" w:hAnsi="Verdana" w:cs="Verdana"/>
          <w:b/>
        </w:rPr>
      </w:pPr>
      <w:r w:rsidRPr="00641BC8">
        <w:rPr>
          <w:rFonts w:ascii="Verdana" w:eastAsia="Verdana" w:hAnsi="Verdana" w:cs="Verdana"/>
          <w:b/>
        </w:rPr>
        <w:t>EL CONTADOR GENERAL DE LA NACIÓN</w:t>
      </w:r>
    </w:p>
    <w:p w14:paraId="3DDC6461" w14:textId="5BA85A99" w:rsidR="00DB1E4A" w:rsidRPr="00641BC8" w:rsidRDefault="00DB1E4A" w:rsidP="002A7513">
      <w:pPr>
        <w:widowControl w:val="0"/>
        <w:spacing w:before="240" w:line="240" w:lineRule="auto"/>
        <w:jc w:val="center"/>
        <w:rPr>
          <w:rFonts w:ascii="Verdana" w:eastAsia="Verdana" w:hAnsi="Verdana" w:cs="Verdana"/>
        </w:rPr>
      </w:pPr>
      <w:r w:rsidRPr="00641BC8">
        <w:rPr>
          <w:rFonts w:ascii="Verdana" w:eastAsia="Verdana" w:hAnsi="Verdana" w:cs="Verdana"/>
        </w:rPr>
        <w:t>En ejercicio de las facultades establecidas en el artículo 354 de la Constitución Política de Colombia, además de las conferidas por la Ley 298 de 1996 y los numerales 1, 3, 7 y 8 del artículo 4 del Decreto 1</w:t>
      </w:r>
      <w:r w:rsidR="00152CE8" w:rsidRPr="00641BC8">
        <w:rPr>
          <w:rFonts w:ascii="Verdana" w:eastAsia="Verdana" w:hAnsi="Verdana" w:cs="Verdana"/>
        </w:rPr>
        <w:t>693 de 2023</w:t>
      </w:r>
      <w:r w:rsidRPr="00641BC8">
        <w:rPr>
          <w:rFonts w:ascii="Verdana" w:eastAsia="Verdana" w:hAnsi="Verdana" w:cs="Verdana"/>
        </w:rPr>
        <w:t>, y</w:t>
      </w:r>
    </w:p>
    <w:p w14:paraId="7A3E693C" w14:textId="77777777" w:rsidR="00DB1E4A" w:rsidRDefault="00DB1E4A" w:rsidP="002A7513">
      <w:pPr>
        <w:widowControl w:val="0"/>
        <w:spacing w:before="240" w:line="240" w:lineRule="auto"/>
        <w:jc w:val="center"/>
        <w:rPr>
          <w:rFonts w:ascii="Verdana" w:eastAsia="Verdana" w:hAnsi="Verdana" w:cs="Verdana"/>
          <w:b/>
        </w:rPr>
      </w:pPr>
      <w:r w:rsidRPr="00641BC8">
        <w:rPr>
          <w:rFonts w:ascii="Verdana" w:eastAsia="Verdana" w:hAnsi="Verdana" w:cs="Verdana"/>
          <w:b/>
        </w:rPr>
        <w:t>CONSIDERANDO QUE:</w:t>
      </w:r>
    </w:p>
    <w:p w14:paraId="5C18AC03" w14:textId="547AD568" w:rsidR="00DB1E4A" w:rsidRPr="00641BC8" w:rsidRDefault="00DB1E4A" w:rsidP="002A7513">
      <w:pPr>
        <w:tabs>
          <w:tab w:val="left" w:pos="0"/>
          <w:tab w:val="left" w:pos="8820"/>
        </w:tabs>
        <w:spacing w:before="240" w:line="240" w:lineRule="auto"/>
        <w:jc w:val="both"/>
        <w:rPr>
          <w:rFonts w:ascii="Verdana" w:eastAsia="Verdana" w:hAnsi="Verdana" w:cs="Verdana"/>
        </w:rPr>
      </w:pPr>
      <w:r w:rsidRPr="00641BC8">
        <w:rPr>
          <w:rFonts w:ascii="Verdana" w:eastAsia="Verdana" w:hAnsi="Verdana" w:cs="Verdana"/>
        </w:rPr>
        <w:t xml:space="preserve">El artículo 354 de la Constitución Política de 1991 </w:t>
      </w:r>
      <w:r w:rsidR="00214CEB">
        <w:rPr>
          <w:rFonts w:ascii="Verdana" w:eastAsia="Verdana" w:hAnsi="Verdana" w:cs="Verdana"/>
        </w:rPr>
        <w:t xml:space="preserve">dispone </w:t>
      </w:r>
      <w:r w:rsidRPr="00641BC8">
        <w:rPr>
          <w:rFonts w:ascii="Verdana" w:eastAsia="Verdana" w:hAnsi="Verdana" w:cs="Verdana"/>
        </w:rPr>
        <w:t>que habrá un Contador General</w:t>
      </w:r>
      <w:r w:rsidR="00214CEB">
        <w:rPr>
          <w:rFonts w:ascii="Verdana" w:eastAsia="Verdana" w:hAnsi="Verdana" w:cs="Verdana"/>
        </w:rPr>
        <w:t xml:space="preserve"> de la Nación</w:t>
      </w:r>
      <w:r w:rsidRPr="00641BC8">
        <w:rPr>
          <w:rFonts w:ascii="Verdana" w:eastAsia="Verdana" w:hAnsi="Verdana" w:cs="Verdana"/>
        </w:rPr>
        <w:t xml:space="preserve">, y le confiere, entre otras, la función de determinar las normas contables que deben regir en el país. Este artículo fue desarrollado por la Ley 298 de 1996 que, entre otras disposiciones, crea la Unidad Administrativa Especial Contaduría General de la Nación (CGN). </w:t>
      </w:r>
    </w:p>
    <w:p w14:paraId="429F8FFC" w14:textId="65438401" w:rsidR="00DB1E4A" w:rsidRPr="00641BC8" w:rsidRDefault="006D3565" w:rsidP="002A7513">
      <w:pPr>
        <w:tabs>
          <w:tab w:val="left" w:pos="0"/>
        </w:tabs>
        <w:spacing w:before="240" w:line="240" w:lineRule="auto"/>
        <w:jc w:val="both"/>
        <w:rPr>
          <w:rFonts w:ascii="Verdana" w:eastAsia="Verdana" w:hAnsi="Verdana" w:cs="Verdana"/>
        </w:rPr>
      </w:pPr>
      <w:bookmarkStart w:id="2" w:name="_heading=h.1fob9te" w:colFirst="0" w:colLast="0"/>
      <w:bookmarkEnd w:id="2"/>
      <w:r w:rsidRPr="00641BC8">
        <w:rPr>
          <w:rFonts w:ascii="Verdana" w:eastAsia="Verdana" w:hAnsi="Verdana" w:cs="Verdana"/>
        </w:rPr>
        <w:t>Los artículos 1 y 5 de la Resolución 354 de 2007,</w:t>
      </w:r>
      <w:r w:rsidR="0027272F">
        <w:rPr>
          <w:rFonts w:ascii="Verdana" w:eastAsia="Verdana" w:hAnsi="Verdana" w:cs="Verdana"/>
        </w:rPr>
        <w:t xml:space="preserve"> </w:t>
      </w:r>
      <w:r w:rsidRPr="00641BC8">
        <w:rPr>
          <w:rFonts w:ascii="Verdana" w:eastAsia="Verdana" w:hAnsi="Verdana" w:cs="Verdana"/>
        </w:rPr>
        <w:t>modificados por el artículo 1 de la Resolución 156 de 2018 y por el artículo 1 de la Resolución 195 de 2021, respectivamente, establecen la conformación y el ámbito de aplicación del Régimen de Contabilidad Pública (RCP).</w:t>
      </w:r>
    </w:p>
    <w:p w14:paraId="795F25C2" w14:textId="0DFAB020" w:rsidR="00BE0A26" w:rsidRDefault="00BE0A26" w:rsidP="00532FFE">
      <w:pPr>
        <w:widowControl w:val="0"/>
        <w:spacing w:before="240" w:line="240" w:lineRule="auto"/>
        <w:jc w:val="both"/>
        <w:rPr>
          <w:rFonts w:ascii="Verdana" w:eastAsia="Verdana" w:hAnsi="Verdana" w:cs="Verdana"/>
        </w:rPr>
      </w:pPr>
      <w:r w:rsidRPr="00BE0A26">
        <w:rPr>
          <w:rFonts w:ascii="Verdana" w:eastAsia="Verdana" w:hAnsi="Verdana" w:cs="Verdana"/>
        </w:rPr>
        <w:t>La Resolución 706 de 2016, establec</w:t>
      </w:r>
      <w:r w:rsidR="005C4EEA">
        <w:rPr>
          <w:rFonts w:ascii="Verdana" w:eastAsia="Verdana" w:hAnsi="Verdana" w:cs="Verdana"/>
        </w:rPr>
        <w:t>ía</w:t>
      </w:r>
      <w:r w:rsidRPr="00BE0A26">
        <w:rPr>
          <w:rFonts w:ascii="Verdana" w:eastAsia="Verdana" w:hAnsi="Verdana" w:cs="Verdana"/>
        </w:rPr>
        <w:t xml:space="preserve"> la información a reportar, los requisitos y los plazos de envió a la CGN</w:t>
      </w:r>
      <w:r>
        <w:rPr>
          <w:rFonts w:ascii="Verdana" w:eastAsia="Verdana" w:hAnsi="Verdana" w:cs="Verdana"/>
        </w:rPr>
        <w:t>.</w:t>
      </w:r>
    </w:p>
    <w:p w14:paraId="4DE76CCF" w14:textId="52386A6D" w:rsidR="00532FFE" w:rsidRPr="00641BC8" w:rsidRDefault="00532FFE" w:rsidP="00532FFE">
      <w:pPr>
        <w:widowControl w:val="0"/>
        <w:spacing w:before="240" w:line="240" w:lineRule="auto"/>
        <w:jc w:val="both"/>
        <w:rPr>
          <w:rFonts w:ascii="Verdana" w:eastAsia="Verdana" w:hAnsi="Verdana" w:cs="Verdana"/>
        </w:rPr>
      </w:pPr>
      <w:r w:rsidRPr="00641BC8">
        <w:rPr>
          <w:rFonts w:ascii="Verdana" w:eastAsia="Verdana" w:hAnsi="Verdana" w:cs="Verdana"/>
        </w:rPr>
        <w:t xml:space="preserve">La Resolución </w:t>
      </w:r>
      <w:r>
        <w:rPr>
          <w:rFonts w:ascii="Verdana" w:eastAsia="Verdana" w:hAnsi="Verdana" w:cs="Verdana"/>
        </w:rPr>
        <w:t>441</w:t>
      </w:r>
      <w:r w:rsidRPr="00641BC8">
        <w:rPr>
          <w:rFonts w:ascii="Verdana" w:eastAsia="Verdana" w:hAnsi="Verdana" w:cs="Verdana"/>
        </w:rPr>
        <w:t xml:space="preserve"> de 201</w:t>
      </w:r>
      <w:r>
        <w:rPr>
          <w:rFonts w:ascii="Verdana" w:eastAsia="Verdana" w:hAnsi="Verdana" w:cs="Verdana"/>
        </w:rPr>
        <w:t>9</w:t>
      </w:r>
      <w:r w:rsidRPr="00641BC8">
        <w:rPr>
          <w:rFonts w:ascii="Verdana" w:eastAsia="Verdana" w:hAnsi="Verdana" w:cs="Verdana"/>
        </w:rPr>
        <w:t xml:space="preserve">, </w:t>
      </w:r>
      <w:r>
        <w:rPr>
          <w:rFonts w:ascii="Verdana" w:eastAsia="Verdana" w:hAnsi="Verdana" w:cs="Verdana"/>
        </w:rPr>
        <w:t xml:space="preserve">incorporó a la Resolución 706 de 2016 la </w:t>
      </w:r>
      <w:r w:rsidRPr="004A7276">
        <w:rPr>
          <w:rFonts w:ascii="Verdana" w:eastAsia="Verdana" w:hAnsi="Verdana" w:cs="Verdana"/>
        </w:rPr>
        <w:t>Plantilla para el reporte uniforme de las notas a la Contaduría General de la Nación y la disponibilidad de Anexos de apoyo para su preparación</w:t>
      </w:r>
      <w:r>
        <w:rPr>
          <w:rFonts w:ascii="Verdana" w:eastAsia="Verdana" w:hAnsi="Verdana" w:cs="Verdana"/>
        </w:rPr>
        <w:t>.</w:t>
      </w:r>
    </w:p>
    <w:p w14:paraId="42462EAB" w14:textId="6A2C0608" w:rsidR="00532FFE" w:rsidRPr="00641BC8" w:rsidRDefault="00532FFE" w:rsidP="00532FFE">
      <w:pPr>
        <w:widowControl w:val="0"/>
        <w:spacing w:before="240" w:line="240" w:lineRule="auto"/>
        <w:jc w:val="both"/>
        <w:rPr>
          <w:rFonts w:ascii="Verdana" w:eastAsia="Verdana" w:hAnsi="Verdana" w:cs="Verdana"/>
        </w:rPr>
      </w:pPr>
      <w:r w:rsidRPr="00641BC8">
        <w:rPr>
          <w:rFonts w:ascii="Verdana" w:eastAsia="Verdana" w:hAnsi="Verdana" w:cs="Verdana"/>
        </w:rPr>
        <w:t xml:space="preserve">La Resolución </w:t>
      </w:r>
      <w:r>
        <w:rPr>
          <w:rFonts w:ascii="Verdana" w:eastAsia="Verdana" w:hAnsi="Verdana" w:cs="Verdana"/>
        </w:rPr>
        <w:t>193 de 2020</w:t>
      </w:r>
      <w:r w:rsidRPr="00641BC8">
        <w:rPr>
          <w:rFonts w:ascii="Verdana" w:eastAsia="Verdana" w:hAnsi="Verdana" w:cs="Verdana"/>
        </w:rPr>
        <w:t xml:space="preserve">, </w:t>
      </w:r>
      <w:r>
        <w:rPr>
          <w:rFonts w:ascii="Verdana" w:eastAsia="Verdana" w:hAnsi="Verdana" w:cs="Verdana"/>
        </w:rPr>
        <w:t>modificó el artículo 2 de la Resolución 441 de 2019 y adicionó un parágrafo al artículo 16 de la Resolución 706 de 2016</w:t>
      </w:r>
      <w:r w:rsidRPr="00641BC8">
        <w:rPr>
          <w:rFonts w:ascii="Verdana" w:eastAsia="Verdana" w:hAnsi="Verdana" w:cs="Verdana"/>
        </w:rPr>
        <w:t>.</w:t>
      </w:r>
    </w:p>
    <w:p w14:paraId="5F41F340" w14:textId="30BA3EB6" w:rsidR="006D3565" w:rsidRPr="00641BC8" w:rsidRDefault="006D3565" w:rsidP="002A7513">
      <w:pPr>
        <w:widowControl w:val="0"/>
        <w:spacing w:before="240" w:line="240" w:lineRule="auto"/>
        <w:jc w:val="both"/>
        <w:rPr>
          <w:rFonts w:ascii="Verdana" w:eastAsia="Verdana" w:hAnsi="Verdana" w:cs="Verdana"/>
        </w:rPr>
      </w:pPr>
      <w:r w:rsidRPr="00641BC8">
        <w:rPr>
          <w:rFonts w:ascii="Verdana" w:eastAsia="Verdana" w:hAnsi="Verdana" w:cs="Verdana"/>
        </w:rPr>
        <w:t xml:space="preserve">La Resolución </w:t>
      </w:r>
      <w:r w:rsidR="004A7276">
        <w:rPr>
          <w:rFonts w:ascii="Verdana" w:eastAsia="Verdana" w:hAnsi="Verdana" w:cs="Verdana"/>
        </w:rPr>
        <w:t>411 de 2023 establec</w:t>
      </w:r>
      <w:r w:rsidR="00532FFE">
        <w:rPr>
          <w:rFonts w:ascii="Verdana" w:eastAsia="Verdana" w:hAnsi="Verdana" w:cs="Verdana"/>
        </w:rPr>
        <w:t xml:space="preserve">ió </w:t>
      </w:r>
      <w:r w:rsidR="00214CEB">
        <w:rPr>
          <w:rFonts w:ascii="Verdana" w:eastAsia="Verdana" w:hAnsi="Verdana" w:cs="Verdana"/>
        </w:rPr>
        <w:t xml:space="preserve">los requisitos, plazos y características de la información que las entidades sujetas al Régimen de Contabilidad Pública deben </w:t>
      </w:r>
      <w:r w:rsidR="004A7276">
        <w:rPr>
          <w:rFonts w:ascii="Verdana" w:eastAsia="Verdana" w:hAnsi="Verdana" w:cs="Verdana"/>
        </w:rPr>
        <w:t>reportar</w:t>
      </w:r>
      <w:r w:rsidR="00532FFE">
        <w:rPr>
          <w:rFonts w:ascii="Verdana" w:eastAsia="Verdana" w:hAnsi="Verdana" w:cs="Verdana"/>
        </w:rPr>
        <w:t xml:space="preserve"> </w:t>
      </w:r>
      <w:r w:rsidR="004A7276">
        <w:rPr>
          <w:rFonts w:ascii="Verdana" w:eastAsia="Verdana" w:hAnsi="Verdana" w:cs="Verdana"/>
        </w:rPr>
        <w:t>a la Contaduría General de la Nación y derog</w:t>
      </w:r>
      <w:r w:rsidR="00532FFE">
        <w:rPr>
          <w:rFonts w:ascii="Verdana" w:eastAsia="Verdana" w:hAnsi="Verdana" w:cs="Verdana"/>
        </w:rPr>
        <w:t>ó</w:t>
      </w:r>
      <w:r w:rsidR="004A7276">
        <w:rPr>
          <w:rFonts w:ascii="Verdana" w:eastAsia="Verdana" w:hAnsi="Verdana" w:cs="Verdana"/>
        </w:rPr>
        <w:t xml:space="preserve"> la Resolución </w:t>
      </w:r>
      <w:r w:rsidRPr="00641BC8">
        <w:rPr>
          <w:rFonts w:ascii="Verdana" w:eastAsia="Verdana" w:hAnsi="Verdana" w:cs="Verdana"/>
        </w:rPr>
        <w:t>706 de 2016.</w:t>
      </w:r>
    </w:p>
    <w:p w14:paraId="5DC448AF" w14:textId="7E2EE362" w:rsidR="00DB1E4A" w:rsidRDefault="00532FFE" w:rsidP="0027272F">
      <w:pPr>
        <w:widowControl w:val="0"/>
        <w:spacing w:before="240" w:line="240" w:lineRule="auto"/>
        <w:jc w:val="both"/>
        <w:rPr>
          <w:rFonts w:ascii="Verdana" w:eastAsia="Verdana" w:hAnsi="Verdana" w:cs="Verdana"/>
        </w:rPr>
      </w:pPr>
      <w:r>
        <w:rPr>
          <w:rFonts w:ascii="Verdana" w:eastAsia="Verdana" w:hAnsi="Verdana" w:cs="Verdana"/>
        </w:rPr>
        <w:t>En razón de la d</w:t>
      </w:r>
      <w:r w:rsidR="005D1D7B">
        <w:rPr>
          <w:rFonts w:ascii="Verdana" w:eastAsia="Verdana" w:hAnsi="Verdana" w:cs="Verdana"/>
        </w:rPr>
        <w:t>eroga</w:t>
      </w:r>
      <w:r>
        <w:rPr>
          <w:rFonts w:ascii="Verdana" w:eastAsia="Verdana" w:hAnsi="Verdana" w:cs="Verdana"/>
        </w:rPr>
        <w:t>toria de</w:t>
      </w:r>
      <w:r w:rsidR="005D1D7B">
        <w:rPr>
          <w:rFonts w:ascii="Verdana" w:eastAsia="Verdana" w:hAnsi="Verdana" w:cs="Verdana"/>
        </w:rPr>
        <w:t xml:space="preserve"> la </w:t>
      </w:r>
      <w:r w:rsidR="006D3565" w:rsidRPr="00641BC8">
        <w:rPr>
          <w:rFonts w:ascii="Verdana" w:eastAsia="Verdana" w:hAnsi="Verdana" w:cs="Verdana"/>
        </w:rPr>
        <w:t>Resolución 706 de 2016</w:t>
      </w:r>
      <w:r w:rsidR="000B5CA8">
        <w:rPr>
          <w:rFonts w:ascii="Verdana" w:eastAsia="Verdana" w:hAnsi="Verdana" w:cs="Verdana"/>
        </w:rPr>
        <w:t xml:space="preserve"> y con el propósito de garantizar la </w:t>
      </w:r>
      <w:r w:rsidR="005D1D7B">
        <w:rPr>
          <w:rFonts w:ascii="Verdana" w:eastAsia="Verdana" w:hAnsi="Verdana" w:cs="Verdana"/>
        </w:rPr>
        <w:t>consistencia del proceso</w:t>
      </w:r>
      <w:r w:rsidR="00BE0A26">
        <w:rPr>
          <w:rFonts w:ascii="Verdana" w:eastAsia="Verdana" w:hAnsi="Verdana" w:cs="Verdana"/>
        </w:rPr>
        <w:t xml:space="preserve"> </w:t>
      </w:r>
      <w:r w:rsidR="005C4EEA">
        <w:rPr>
          <w:rFonts w:ascii="Verdana" w:eastAsia="Verdana" w:hAnsi="Verdana" w:cs="Verdana"/>
        </w:rPr>
        <w:t xml:space="preserve">de </w:t>
      </w:r>
      <w:r w:rsidR="00BE0A26">
        <w:rPr>
          <w:rFonts w:ascii="Verdana" w:eastAsia="Verdana" w:hAnsi="Verdana" w:cs="Verdana"/>
        </w:rPr>
        <w:t>reporte de la información a la CGN por parte de las entidades</w:t>
      </w:r>
      <w:r w:rsidR="00CB3AE6" w:rsidRPr="00CB3AE6">
        <w:rPr>
          <w:rFonts w:ascii="Verdana" w:eastAsia="Verdana" w:hAnsi="Verdana" w:cs="Verdana"/>
        </w:rPr>
        <w:t xml:space="preserve"> </w:t>
      </w:r>
      <w:r w:rsidR="00CB3AE6">
        <w:rPr>
          <w:rFonts w:ascii="Verdana" w:eastAsia="Verdana" w:hAnsi="Verdana" w:cs="Verdana"/>
        </w:rPr>
        <w:t>sujetas al Régimen de Contabilidad Pública</w:t>
      </w:r>
      <w:r w:rsidR="005D1D7B">
        <w:rPr>
          <w:rFonts w:ascii="Verdana" w:eastAsia="Verdana" w:hAnsi="Verdana" w:cs="Verdana"/>
        </w:rPr>
        <w:t>, es</w:t>
      </w:r>
      <w:r w:rsidR="00DB1E4A" w:rsidRPr="00641BC8">
        <w:rPr>
          <w:rFonts w:ascii="Verdana" w:eastAsia="Verdana" w:hAnsi="Verdana" w:cs="Verdana"/>
        </w:rPr>
        <w:t xml:space="preserve"> necesario </w:t>
      </w:r>
      <w:r w:rsidR="001E5A06">
        <w:rPr>
          <w:rFonts w:ascii="Verdana" w:eastAsia="Verdana" w:hAnsi="Verdana" w:cs="Verdana"/>
        </w:rPr>
        <w:t xml:space="preserve">modificar el parágrafo 3 del artículo 6 de la Resolución 411 de 2023, con el objetivo de </w:t>
      </w:r>
      <w:r w:rsidR="005D1D7B">
        <w:rPr>
          <w:rFonts w:ascii="Verdana" w:eastAsia="Verdana" w:hAnsi="Verdana" w:cs="Verdana"/>
        </w:rPr>
        <w:t xml:space="preserve">incorporar la </w:t>
      </w:r>
      <w:r w:rsidR="0027272F" w:rsidRPr="0027272F">
        <w:rPr>
          <w:rFonts w:ascii="Verdana" w:eastAsia="Verdana" w:hAnsi="Verdana" w:cs="Verdana"/>
        </w:rPr>
        <w:t>PLANTILLA PARA LA PREPARACIÓN Y PRESENTACIÓN UNIFORME</w:t>
      </w:r>
      <w:r w:rsidR="0027272F">
        <w:rPr>
          <w:rFonts w:ascii="Verdana" w:eastAsia="Verdana" w:hAnsi="Verdana" w:cs="Verdana"/>
        </w:rPr>
        <w:t xml:space="preserve"> </w:t>
      </w:r>
      <w:r w:rsidR="0027272F" w:rsidRPr="0027272F">
        <w:rPr>
          <w:rFonts w:ascii="Verdana" w:eastAsia="Verdana" w:hAnsi="Verdana" w:cs="Verdana"/>
        </w:rPr>
        <w:t>DE LAS NOTAS A LOS ESTADOS FINANCIEROS</w:t>
      </w:r>
      <w:r w:rsidR="0027272F">
        <w:rPr>
          <w:rFonts w:ascii="Verdana" w:eastAsia="Verdana" w:hAnsi="Verdana" w:cs="Verdana"/>
        </w:rPr>
        <w:t xml:space="preserve"> </w:t>
      </w:r>
      <w:r w:rsidR="005D1D7B" w:rsidRPr="004A7276">
        <w:rPr>
          <w:rFonts w:ascii="Verdana" w:eastAsia="Verdana" w:hAnsi="Verdana" w:cs="Verdana"/>
        </w:rPr>
        <w:t xml:space="preserve">a la </w:t>
      </w:r>
      <w:r w:rsidR="0027272F">
        <w:rPr>
          <w:rFonts w:ascii="Verdana" w:eastAsia="Verdana" w:hAnsi="Verdana" w:cs="Verdana"/>
        </w:rPr>
        <w:t>CGN</w:t>
      </w:r>
      <w:r w:rsidR="005D1D7B" w:rsidRPr="004A7276">
        <w:rPr>
          <w:rFonts w:ascii="Verdana" w:eastAsia="Verdana" w:hAnsi="Verdana" w:cs="Verdana"/>
        </w:rPr>
        <w:t xml:space="preserve"> y la disponibilidad de </w:t>
      </w:r>
      <w:r w:rsidR="000B5CA8">
        <w:rPr>
          <w:rFonts w:ascii="Verdana" w:eastAsia="Verdana" w:hAnsi="Verdana" w:cs="Verdana"/>
        </w:rPr>
        <w:t>a</w:t>
      </w:r>
      <w:r w:rsidR="005D1D7B" w:rsidRPr="004A7276">
        <w:rPr>
          <w:rFonts w:ascii="Verdana" w:eastAsia="Verdana" w:hAnsi="Verdana" w:cs="Verdana"/>
        </w:rPr>
        <w:t>nexos de apoyo para su preparación</w:t>
      </w:r>
      <w:r w:rsidR="005D1D7B">
        <w:rPr>
          <w:rFonts w:ascii="Verdana" w:eastAsia="Verdana" w:hAnsi="Verdana" w:cs="Verdana"/>
        </w:rPr>
        <w:t xml:space="preserve"> a la Resolución 411 de 2023</w:t>
      </w:r>
      <w:r w:rsidR="00301433">
        <w:rPr>
          <w:rFonts w:ascii="Verdana" w:eastAsia="Verdana" w:hAnsi="Verdana" w:cs="Verdana"/>
        </w:rPr>
        <w:t>, y deroga</w:t>
      </w:r>
      <w:r w:rsidR="0027272F">
        <w:rPr>
          <w:rFonts w:ascii="Verdana" w:eastAsia="Verdana" w:hAnsi="Verdana" w:cs="Verdana"/>
        </w:rPr>
        <w:t xml:space="preserve">r </w:t>
      </w:r>
      <w:r w:rsidR="00301433">
        <w:rPr>
          <w:rFonts w:ascii="Verdana" w:eastAsia="Verdana" w:hAnsi="Verdana" w:cs="Verdana"/>
        </w:rPr>
        <w:t>las Resoluciones 441 de 2019 y 193 de 2020.</w:t>
      </w:r>
    </w:p>
    <w:p w14:paraId="34E67DEB" w14:textId="716011C9" w:rsidR="005C4EEA" w:rsidRDefault="00DB1E4A" w:rsidP="002A7513">
      <w:pPr>
        <w:tabs>
          <w:tab w:val="left" w:pos="0"/>
        </w:tabs>
        <w:spacing w:before="240" w:line="240" w:lineRule="auto"/>
        <w:jc w:val="both"/>
        <w:rPr>
          <w:rFonts w:ascii="Verdana" w:eastAsia="Verdana" w:hAnsi="Verdana" w:cs="Verdana"/>
        </w:rPr>
      </w:pPr>
      <w:r w:rsidRPr="00641BC8">
        <w:rPr>
          <w:rFonts w:ascii="Verdana" w:eastAsia="Verdana" w:hAnsi="Verdana" w:cs="Verdana"/>
        </w:rPr>
        <w:t>En mérito de lo expuesto,</w:t>
      </w:r>
    </w:p>
    <w:p w14:paraId="0D974196" w14:textId="77777777" w:rsidR="005C4EEA" w:rsidRDefault="005C4EEA">
      <w:pPr>
        <w:spacing w:line="259" w:lineRule="auto"/>
        <w:rPr>
          <w:rFonts w:ascii="Verdana" w:eastAsia="Verdana" w:hAnsi="Verdana" w:cs="Verdana"/>
        </w:rPr>
      </w:pPr>
      <w:r>
        <w:rPr>
          <w:rFonts w:ascii="Verdana" w:eastAsia="Verdana" w:hAnsi="Verdana" w:cs="Verdana"/>
        </w:rPr>
        <w:br w:type="page"/>
      </w:r>
    </w:p>
    <w:p w14:paraId="14E1F4D3" w14:textId="77777777" w:rsidR="00DB1E4A" w:rsidRPr="00641BC8" w:rsidRDefault="00DB1E4A" w:rsidP="002A7513">
      <w:pPr>
        <w:tabs>
          <w:tab w:val="left" w:pos="0"/>
        </w:tabs>
        <w:spacing w:before="240" w:line="240" w:lineRule="auto"/>
        <w:jc w:val="center"/>
        <w:rPr>
          <w:rFonts w:ascii="Verdana" w:eastAsia="Verdana" w:hAnsi="Verdana" w:cs="Verdana"/>
          <w:b/>
          <w:bCs/>
        </w:rPr>
      </w:pPr>
      <w:r w:rsidRPr="00641BC8">
        <w:rPr>
          <w:rFonts w:ascii="Verdana" w:eastAsia="Verdana" w:hAnsi="Verdana" w:cs="Verdana"/>
          <w:b/>
          <w:bCs/>
        </w:rPr>
        <w:lastRenderedPageBreak/>
        <w:t>RESUELVE:</w:t>
      </w:r>
    </w:p>
    <w:p w14:paraId="66CD995E" w14:textId="7F13DC8C" w:rsidR="001E5A06" w:rsidRDefault="00DB1E4A" w:rsidP="0060440A">
      <w:pPr>
        <w:tabs>
          <w:tab w:val="left" w:pos="0"/>
        </w:tabs>
        <w:spacing w:before="240" w:line="240" w:lineRule="auto"/>
        <w:jc w:val="both"/>
        <w:rPr>
          <w:rFonts w:ascii="Verdana" w:eastAsia="Verdana" w:hAnsi="Verdana" w:cs="Verdana"/>
        </w:rPr>
      </w:pPr>
      <w:r w:rsidRPr="00641BC8">
        <w:rPr>
          <w:rFonts w:ascii="Verdana" w:eastAsia="Verdana" w:hAnsi="Verdana" w:cs="Verdana"/>
          <w:b/>
          <w:bCs/>
        </w:rPr>
        <w:t>ARTÍCULO 1°.</w:t>
      </w:r>
      <w:r w:rsidR="005D1D7B">
        <w:rPr>
          <w:rFonts w:ascii="Verdana" w:eastAsia="Verdana" w:hAnsi="Verdana" w:cs="Verdana"/>
        </w:rPr>
        <w:t xml:space="preserve"> </w:t>
      </w:r>
      <w:r w:rsidR="001E5A06">
        <w:rPr>
          <w:rFonts w:ascii="Verdana" w:eastAsia="Verdana" w:hAnsi="Verdana" w:cs="Verdana"/>
        </w:rPr>
        <w:t xml:space="preserve">Modificar el parágrafo 3 del artículo 6 de la Resolución 411 de 2023 en los siguientes términos: </w:t>
      </w:r>
    </w:p>
    <w:p w14:paraId="7C9590C7" w14:textId="3835EF27" w:rsidR="001E5A06" w:rsidRPr="00792353" w:rsidRDefault="00792353" w:rsidP="0060440A">
      <w:pPr>
        <w:tabs>
          <w:tab w:val="left" w:pos="0"/>
        </w:tabs>
        <w:spacing w:before="240" w:line="240" w:lineRule="auto"/>
        <w:jc w:val="both"/>
        <w:rPr>
          <w:rFonts w:ascii="Verdana" w:eastAsia="Verdana" w:hAnsi="Verdana" w:cs="Verdana"/>
          <w:i/>
          <w:iCs/>
          <w:sz w:val="20"/>
          <w:szCs w:val="20"/>
        </w:rPr>
      </w:pPr>
      <w:r>
        <w:rPr>
          <w:rFonts w:ascii="Verdana" w:eastAsia="Verdana" w:hAnsi="Verdana" w:cs="Verdana"/>
          <w:b/>
          <w:bCs/>
        </w:rPr>
        <w:t>“</w:t>
      </w:r>
      <w:r w:rsidRPr="00792353">
        <w:rPr>
          <w:rFonts w:ascii="Verdana" w:eastAsia="Verdana" w:hAnsi="Verdana" w:cs="Verdana"/>
          <w:b/>
          <w:bCs/>
          <w:i/>
          <w:iCs/>
          <w:sz w:val="20"/>
          <w:szCs w:val="20"/>
        </w:rPr>
        <w:t>PARÁGRAFO</w:t>
      </w:r>
      <w:r w:rsidRPr="0027272F">
        <w:rPr>
          <w:rFonts w:ascii="Verdana" w:eastAsia="Verdana" w:hAnsi="Verdana" w:cs="Verdana"/>
          <w:b/>
          <w:bCs/>
          <w:i/>
          <w:iCs/>
          <w:sz w:val="20"/>
          <w:szCs w:val="20"/>
        </w:rPr>
        <w:t xml:space="preserve"> </w:t>
      </w:r>
      <w:r w:rsidR="001E5A06" w:rsidRPr="0027272F">
        <w:rPr>
          <w:rFonts w:ascii="Verdana" w:eastAsia="Verdana" w:hAnsi="Verdana" w:cs="Verdana"/>
          <w:b/>
          <w:bCs/>
          <w:i/>
          <w:iCs/>
          <w:sz w:val="20"/>
          <w:szCs w:val="20"/>
        </w:rPr>
        <w:t>3</w:t>
      </w:r>
      <w:r w:rsidR="001E5A06" w:rsidRPr="00792353">
        <w:rPr>
          <w:rFonts w:ascii="Verdana" w:eastAsia="Verdana" w:hAnsi="Verdana" w:cs="Verdana"/>
          <w:i/>
          <w:iCs/>
          <w:sz w:val="20"/>
          <w:szCs w:val="20"/>
        </w:rPr>
        <w:t>: El juego completo de estados financieros de la entidad pública hará parte de esta categoría, atenderá lo establecido en la norma de estados financieros de cada marco normativo, y se reportará en formato pdf</w:t>
      </w:r>
      <w:r w:rsidR="0060440A" w:rsidRPr="00792353">
        <w:rPr>
          <w:rFonts w:ascii="Verdana" w:eastAsia="Verdana" w:hAnsi="Verdana" w:cs="Verdana"/>
          <w:i/>
          <w:iCs/>
          <w:sz w:val="20"/>
          <w:szCs w:val="20"/>
        </w:rPr>
        <w:t xml:space="preserve"> </w:t>
      </w:r>
      <w:r w:rsidR="001E5A06" w:rsidRPr="00792353">
        <w:rPr>
          <w:rFonts w:ascii="Verdana" w:eastAsia="Verdana" w:hAnsi="Verdana" w:cs="Verdana"/>
          <w:i/>
          <w:iCs/>
          <w:sz w:val="20"/>
          <w:szCs w:val="20"/>
        </w:rPr>
        <w:t>en los plazos establecidos en esta resolución.</w:t>
      </w:r>
    </w:p>
    <w:p w14:paraId="07ADA3FF" w14:textId="54FF464B" w:rsidR="00DB1E4A" w:rsidRPr="00792353" w:rsidRDefault="00792353" w:rsidP="0027272F">
      <w:pPr>
        <w:tabs>
          <w:tab w:val="left" w:pos="0"/>
        </w:tabs>
        <w:spacing w:before="240" w:line="240" w:lineRule="auto"/>
        <w:jc w:val="both"/>
        <w:rPr>
          <w:rFonts w:ascii="Verdana" w:eastAsia="Verdana" w:hAnsi="Verdana" w:cs="Verdana"/>
          <w:i/>
          <w:iCs/>
          <w:sz w:val="20"/>
          <w:szCs w:val="20"/>
        </w:rPr>
      </w:pPr>
      <w:r>
        <w:rPr>
          <w:rFonts w:ascii="Verdana" w:eastAsia="Verdana" w:hAnsi="Verdana" w:cs="Verdana"/>
          <w:i/>
          <w:iCs/>
          <w:sz w:val="20"/>
          <w:szCs w:val="20"/>
        </w:rPr>
        <w:t>L</w:t>
      </w:r>
      <w:r w:rsidR="0060440A" w:rsidRPr="00792353">
        <w:rPr>
          <w:rFonts w:ascii="Verdana" w:eastAsia="Verdana" w:hAnsi="Verdana" w:cs="Verdana"/>
          <w:i/>
          <w:iCs/>
          <w:sz w:val="20"/>
          <w:szCs w:val="20"/>
        </w:rPr>
        <w:t>a "</w:t>
      </w:r>
      <w:r w:rsidR="0027272F" w:rsidRPr="0027272F">
        <w:rPr>
          <w:rFonts w:ascii="Verdana" w:eastAsia="Verdana" w:hAnsi="Verdana" w:cs="Verdana"/>
          <w:i/>
          <w:iCs/>
          <w:sz w:val="20"/>
          <w:szCs w:val="20"/>
        </w:rPr>
        <w:t>PLANTILLA PARA LA PREPARACIÓN Y PRESENTACIÓN UNIFORME DE LAS NOTAS A LOS ESTADOS FINANCIEROS</w:t>
      </w:r>
      <w:r w:rsidR="0060440A" w:rsidRPr="00792353">
        <w:rPr>
          <w:rFonts w:ascii="Verdana" w:eastAsia="Verdana" w:hAnsi="Verdana" w:cs="Verdana"/>
          <w:i/>
          <w:iCs/>
          <w:sz w:val="20"/>
          <w:szCs w:val="20"/>
        </w:rPr>
        <w:t xml:space="preserve">", la cual se acompaña de anexos de apoyo para la preparación de </w:t>
      </w:r>
      <w:r w:rsidR="00532FFE" w:rsidRPr="00792353">
        <w:rPr>
          <w:rFonts w:ascii="Verdana" w:eastAsia="Verdana" w:hAnsi="Verdana" w:cs="Verdana"/>
          <w:i/>
          <w:iCs/>
          <w:sz w:val="20"/>
          <w:szCs w:val="20"/>
        </w:rPr>
        <w:t>é</w:t>
      </w:r>
      <w:r w:rsidR="0060440A" w:rsidRPr="00792353">
        <w:rPr>
          <w:rFonts w:ascii="Verdana" w:eastAsia="Verdana" w:hAnsi="Verdana" w:cs="Verdana"/>
          <w:i/>
          <w:iCs/>
          <w:sz w:val="20"/>
          <w:szCs w:val="20"/>
        </w:rPr>
        <w:t>stas</w:t>
      </w:r>
      <w:r>
        <w:rPr>
          <w:rFonts w:ascii="Verdana" w:eastAsia="Verdana" w:hAnsi="Verdana" w:cs="Verdana"/>
          <w:i/>
          <w:iCs/>
          <w:sz w:val="20"/>
          <w:szCs w:val="20"/>
        </w:rPr>
        <w:t xml:space="preserve">, hacen parte de </w:t>
      </w:r>
      <w:r w:rsidR="0060440A" w:rsidRPr="00792353">
        <w:rPr>
          <w:rFonts w:ascii="Verdana" w:eastAsia="Verdana" w:hAnsi="Verdana" w:cs="Verdana"/>
          <w:i/>
          <w:iCs/>
          <w:sz w:val="20"/>
          <w:szCs w:val="20"/>
        </w:rPr>
        <w:t xml:space="preserve">esta </w:t>
      </w:r>
      <w:r w:rsidR="000B5CA8" w:rsidRPr="00792353">
        <w:rPr>
          <w:rFonts w:ascii="Verdana" w:eastAsia="Verdana" w:hAnsi="Verdana" w:cs="Verdana"/>
          <w:i/>
          <w:iCs/>
          <w:sz w:val="20"/>
          <w:szCs w:val="20"/>
        </w:rPr>
        <w:t>r</w:t>
      </w:r>
      <w:r w:rsidR="0060440A" w:rsidRPr="00792353">
        <w:rPr>
          <w:rFonts w:ascii="Verdana" w:eastAsia="Verdana" w:hAnsi="Verdana" w:cs="Verdana"/>
          <w:i/>
          <w:iCs/>
          <w:sz w:val="20"/>
          <w:szCs w:val="20"/>
        </w:rPr>
        <w:t>esolución</w:t>
      </w:r>
      <w:r w:rsidR="00DB1E4A" w:rsidRPr="00792353">
        <w:rPr>
          <w:rFonts w:ascii="Verdana" w:eastAsia="Verdana" w:hAnsi="Verdana" w:cs="Verdana"/>
          <w:i/>
          <w:iCs/>
          <w:sz w:val="20"/>
          <w:szCs w:val="20"/>
        </w:rPr>
        <w:t>.</w:t>
      </w:r>
    </w:p>
    <w:p w14:paraId="5EBF00D0" w14:textId="439DF374" w:rsidR="00DB1E4A" w:rsidRPr="00792353" w:rsidRDefault="005D1D7B" w:rsidP="0027272F">
      <w:pPr>
        <w:tabs>
          <w:tab w:val="left" w:pos="0"/>
        </w:tabs>
        <w:spacing w:before="240" w:line="240" w:lineRule="auto"/>
        <w:jc w:val="both"/>
        <w:rPr>
          <w:rFonts w:ascii="Verdana" w:eastAsia="Verdana" w:hAnsi="Verdana" w:cs="Verdana"/>
          <w:i/>
          <w:iCs/>
          <w:sz w:val="20"/>
          <w:szCs w:val="20"/>
        </w:rPr>
      </w:pPr>
      <w:r w:rsidRPr="00792353">
        <w:rPr>
          <w:rFonts w:ascii="Verdana" w:eastAsia="Verdana" w:hAnsi="Verdana" w:cs="Verdana"/>
          <w:i/>
          <w:iCs/>
          <w:sz w:val="20"/>
          <w:szCs w:val="20"/>
        </w:rPr>
        <w:t>A</w:t>
      </w:r>
      <w:r w:rsidR="0060440A" w:rsidRPr="00792353">
        <w:rPr>
          <w:i/>
          <w:iCs/>
          <w:sz w:val="20"/>
          <w:szCs w:val="20"/>
        </w:rPr>
        <w:t xml:space="preserve"> </w:t>
      </w:r>
      <w:r w:rsidR="0060440A" w:rsidRPr="00792353">
        <w:rPr>
          <w:rFonts w:ascii="Verdana" w:eastAsia="Verdana" w:hAnsi="Verdana" w:cs="Verdana"/>
          <w:i/>
          <w:iCs/>
          <w:sz w:val="20"/>
          <w:szCs w:val="20"/>
        </w:rPr>
        <w:t>partir del corte de presentación del informe de cierre para la vigencia 202</w:t>
      </w:r>
      <w:r w:rsidR="009315BD" w:rsidRPr="00792353">
        <w:rPr>
          <w:rFonts w:ascii="Verdana" w:eastAsia="Verdana" w:hAnsi="Verdana" w:cs="Verdana"/>
          <w:i/>
          <w:iCs/>
          <w:sz w:val="20"/>
          <w:szCs w:val="20"/>
        </w:rPr>
        <w:t>3</w:t>
      </w:r>
      <w:r w:rsidR="0060440A" w:rsidRPr="00792353">
        <w:rPr>
          <w:rFonts w:ascii="Verdana" w:eastAsia="Verdana" w:hAnsi="Verdana" w:cs="Verdana"/>
          <w:i/>
          <w:iCs/>
          <w:sz w:val="20"/>
          <w:szCs w:val="20"/>
        </w:rPr>
        <w:t xml:space="preserve">, las entidades públicas incluidas en el ámbito del Régimen de Contabilidad Pública, de conformidad con lo dispuesto </w:t>
      </w:r>
      <w:r w:rsidR="000B5CA8" w:rsidRPr="00792353">
        <w:rPr>
          <w:rFonts w:ascii="Verdana" w:eastAsia="Verdana" w:hAnsi="Verdana" w:cs="Verdana"/>
          <w:i/>
          <w:iCs/>
          <w:sz w:val="20"/>
          <w:szCs w:val="20"/>
        </w:rPr>
        <w:t>por los artículos 1 y 5 de la Resolución CGN 354 de 2007, modificados por el artículo 1 de la Resolución 156 de 2018 y por el artículo 1 de la Resolución 195 de 2021</w:t>
      </w:r>
      <w:r w:rsidR="0060440A" w:rsidRPr="00792353">
        <w:rPr>
          <w:rFonts w:ascii="Verdana" w:eastAsia="Verdana" w:hAnsi="Verdana" w:cs="Verdana"/>
          <w:i/>
          <w:iCs/>
          <w:sz w:val="20"/>
          <w:szCs w:val="20"/>
        </w:rPr>
        <w:t>, deberán presentar sus notas a los estados financieros cumpliendo con la estructura uniforme detallada en el documento anexo denominado “</w:t>
      </w:r>
      <w:r w:rsidR="0027272F" w:rsidRPr="0027272F">
        <w:rPr>
          <w:rFonts w:ascii="Verdana" w:eastAsia="Verdana" w:hAnsi="Verdana" w:cs="Verdana"/>
          <w:i/>
          <w:iCs/>
          <w:sz w:val="20"/>
          <w:szCs w:val="20"/>
        </w:rPr>
        <w:t>PLANTILLA PARA LA PREPARACIÓN Y PRESENTACIÓN UNIFORME DE LAS NOTAS A LOS ESTADOS FINANCIEROS</w:t>
      </w:r>
      <w:r w:rsidR="0060440A" w:rsidRPr="00792353">
        <w:rPr>
          <w:rFonts w:ascii="Verdana" w:eastAsia="Verdana" w:hAnsi="Verdana" w:cs="Verdana"/>
          <w:i/>
          <w:iCs/>
          <w:sz w:val="20"/>
          <w:szCs w:val="20"/>
        </w:rPr>
        <w:t xml:space="preserve">”, el cual incluye aspectos para la preparación de las notas y hace parte de la presente </w:t>
      </w:r>
      <w:r w:rsidR="00301433" w:rsidRPr="00792353">
        <w:rPr>
          <w:rFonts w:ascii="Verdana" w:eastAsia="Verdana" w:hAnsi="Verdana" w:cs="Verdana"/>
          <w:i/>
          <w:iCs/>
          <w:sz w:val="20"/>
          <w:szCs w:val="20"/>
        </w:rPr>
        <w:t>r</w:t>
      </w:r>
      <w:r w:rsidR="0060440A" w:rsidRPr="00792353">
        <w:rPr>
          <w:rFonts w:ascii="Verdana" w:eastAsia="Verdana" w:hAnsi="Verdana" w:cs="Verdana"/>
          <w:i/>
          <w:iCs/>
          <w:sz w:val="20"/>
          <w:szCs w:val="20"/>
        </w:rPr>
        <w:t>esolución, estableciendo su obligatoriedad en los siguientes parámetros</w:t>
      </w:r>
      <w:r w:rsidR="00301433" w:rsidRPr="00792353">
        <w:rPr>
          <w:rFonts w:ascii="Verdana" w:eastAsia="Verdana" w:hAnsi="Verdana" w:cs="Verdana"/>
          <w:i/>
          <w:iCs/>
          <w:sz w:val="20"/>
          <w:szCs w:val="20"/>
        </w:rPr>
        <w:t>:</w:t>
      </w:r>
    </w:p>
    <w:p w14:paraId="62924A5F" w14:textId="77777777" w:rsidR="0060440A" w:rsidRPr="00792353" w:rsidRDefault="0060440A" w:rsidP="0060440A">
      <w:pPr>
        <w:pStyle w:val="Prrafodelista"/>
        <w:numPr>
          <w:ilvl w:val="0"/>
          <w:numId w:val="15"/>
        </w:numPr>
        <w:tabs>
          <w:tab w:val="left" w:pos="0"/>
        </w:tabs>
        <w:spacing w:before="240" w:line="240" w:lineRule="auto"/>
        <w:jc w:val="both"/>
        <w:rPr>
          <w:rFonts w:ascii="Verdana" w:eastAsia="Verdana" w:hAnsi="Verdana" w:cs="Verdana"/>
          <w:i/>
          <w:iCs/>
          <w:sz w:val="20"/>
          <w:szCs w:val="20"/>
        </w:rPr>
      </w:pPr>
      <w:r w:rsidRPr="00792353">
        <w:rPr>
          <w:rFonts w:ascii="Verdana" w:eastAsia="Verdana" w:hAnsi="Verdana" w:cs="Verdana"/>
          <w:i/>
          <w:iCs/>
          <w:sz w:val="20"/>
          <w:szCs w:val="20"/>
        </w:rPr>
        <w:t>La numeración y denominación de la nota deberá presentarse de acuerdo con el modelo propuesto en la plantilla.</w:t>
      </w:r>
    </w:p>
    <w:p w14:paraId="4044C2BE" w14:textId="213BFB93" w:rsidR="0060440A" w:rsidRPr="00792353" w:rsidRDefault="0060440A" w:rsidP="0060440A">
      <w:pPr>
        <w:pStyle w:val="Prrafodelista"/>
        <w:tabs>
          <w:tab w:val="left" w:pos="0"/>
        </w:tabs>
        <w:spacing w:before="240" w:line="240" w:lineRule="auto"/>
        <w:ind w:left="360"/>
        <w:jc w:val="both"/>
        <w:rPr>
          <w:rFonts w:ascii="Verdana" w:eastAsia="Verdana" w:hAnsi="Verdana" w:cs="Verdana"/>
          <w:i/>
          <w:iCs/>
          <w:sz w:val="20"/>
          <w:szCs w:val="20"/>
        </w:rPr>
      </w:pPr>
      <w:r w:rsidRPr="00792353">
        <w:rPr>
          <w:rFonts w:ascii="Verdana" w:eastAsia="Verdana" w:hAnsi="Verdana" w:cs="Verdana"/>
          <w:i/>
          <w:iCs/>
          <w:sz w:val="20"/>
          <w:szCs w:val="20"/>
        </w:rPr>
        <w:tab/>
        <w:t>Ejemplos:</w:t>
      </w:r>
    </w:p>
    <w:p w14:paraId="28EFC080" w14:textId="77777777" w:rsidR="0060440A" w:rsidRPr="00792353" w:rsidRDefault="0060440A" w:rsidP="0060440A">
      <w:pPr>
        <w:tabs>
          <w:tab w:val="left" w:pos="0"/>
        </w:tabs>
        <w:spacing w:before="240" w:line="240" w:lineRule="auto"/>
        <w:ind w:left="1440"/>
        <w:jc w:val="both"/>
        <w:rPr>
          <w:rFonts w:ascii="Verdana" w:eastAsia="Verdana" w:hAnsi="Verdana" w:cs="Verdana"/>
          <w:i/>
          <w:iCs/>
          <w:sz w:val="20"/>
          <w:szCs w:val="20"/>
        </w:rPr>
      </w:pPr>
      <w:r w:rsidRPr="00792353">
        <w:rPr>
          <w:rFonts w:ascii="Verdana" w:eastAsia="Verdana" w:hAnsi="Verdana" w:cs="Verdana"/>
          <w:i/>
          <w:iCs/>
          <w:sz w:val="20"/>
          <w:szCs w:val="20"/>
        </w:rPr>
        <w:t>NOTA 1. ENTIDAD REPORTANTE</w:t>
      </w:r>
    </w:p>
    <w:p w14:paraId="10B8C14D" w14:textId="77777777" w:rsidR="0060440A" w:rsidRPr="00792353" w:rsidRDefault="0060440A" w:rsidP="0060440A">
      <w:pPr>
        <w:tabs>
          <w:tab w:val="left" w:pos="0"/>
        </w:tabs>
        <w:spacing w:before="240" w:line="240" w:lineRule="auto"/>
        <w:ind w:left="1440"/>
        <w:jc w:val="both"/>
        <w:rPr>
          <w:rFonts w:ascii="Verdana" w:eastAsia="Verdana" w:hAnsi="Verdana" w:cs="Verdana"/>
          <w:i/>
          <w:iCs/>
          <w:sz w:val="20"/>
          <w:szCs w:val="20"/>
        </w:rPr>
      </w:pPr>
      <w:r w:rsidRPr="00792353">
        <w:rPr>
          <w:rFonts w:ascii="Verdana" w:eastAsia="Verdana" w:hAnsi="Verdana" w:cs="Verdana"/>
          <w:i/>
          <w:iCs/>
          <w:sz w:val="20"/>
          <w:szCs w:val="20"/>
        </w:rPr>
        <w:t>NOTA 5. EFECTIVO Y EQUIVALENTES AL EFECTIVO.</w:t>
      </w:r>
    </w:p>
    <w:p w14:paraId="6E748D5E" w14:textId="6D3258E8" w:rsidR="0060440A" w:rsidRPr="00792353" w:rsidRDefault="0060440A" w:rsidP="0060440A">
      <w:pPr>
        <w:pStyle w:val="Prrafodelista"/>
        <w:numPr>
          <w:ilvl w:val="0"/>
          <w:numId w:val="15"/>
        </w:numPr>
        <w:tabs>
          <w:tab w:val="left" w:pos="0"/>
        </w:tabs>
        <w:spacing w:before="240" w:line="240" w:lineRule="auto"/>
        <w:jc w:val="both"/>
        <w:rPr>
          <w:rFonts w:ascii="Verdana" w:eastAsia="Verdana" w:hAnsi="Verdana" w:cs="Verdana"/>
          <w:i/>
          <w:iCs/>
          <w:sz w:val="20"/>
          <w:szCs w:val="20"/>
        </w:rPr>
      </w:pPr>
      <w:r w:rsidRPr="00792353">
        <w:rPr>
          <w:rFonts w:ascii="Verdana" w:eastAsia="Verdana" w:hAnsi="Verdana" w:cs="Verdana"/>
          <w:i/>
          <w:iCs/>
          <w:sz w:val="20"/>
          <w:szCs w:val="20"/>
        </w:rPr>
        <w:t>En relación con los subtítulos incluidos en cada nota que le sean aplicables a las entidades, solo se exige conservar el nombre indicado en la plantilla. Su numeración interna debe ser consecutiva al orden que requiera la entidad.</w:t>
      </w:r>
    </w:p>
    <w:p w14:paraId="4B164A8E" w14:textId="622ED456" w:rsidR="00DB1E4A" w:rsidRPr="00792353" w:rsidRDefault="0060440A" w:rsidP="002A7513">
      <w:pPr>
        <w:tabs>
          <w:tab w:val="left" w:pos="0"/>
        </w:tabs>
        <w:spacing w:before="240" w:line="240" w:lineRule="auto"/>
        <w:jc w:val="both"/>
        <w:rPr>
          <w:rFonts w:ascii="Verdana" w:eastAsia="Verdana" w:hAnsi="Verdana" w:cs="Verdana"/>
          <w:i/>
          <w:iCs/>
          <w:sz w:val="20"/>
          <w:szCs w:val="20"/>
        </w:rPr>
      </w:pPr>
      <w:r w:rsidRPr="00792353">
        <w:rPr>
          <w:rFonts w:ascii="Verdana" w:eastAsia="Verdana" w:hAnsi="Verdana" w:cs="Verdana"/>
          <w:i/>
          <w:iCs/>
          <w:sz w:val="20"/>
          <w:szCs w:val="20"/>
        </w:rPr>
        <w:t>Las entidades y empresas en la preparación de sus notas podrán complementar o ampliar el detalle sobre las propuestas por la CGN, pero conservando la denominación y numeración establecidos en la plantilla y garantizando el cumplimiento mínimo de las revelaciones requeridas en cada marco normativo</w:t>
      </w:r>
      <w:r w:rsidR="00DB1E4A" w:rsidRPr="00792353">
        <w:rPr>
          <w:rFonts w:ascii="Verdana" w:eastAsia="Verdana" w:hAnsi="Verdana" w:cs="Verdana"/>
          <w:i/>
          <w:iCs/>
          <w:sz w:val="20"/>
          <w:szCs w:val="20"/>
        </w:rPr>
        <w:t>.</w:t>
      </w:r>
    </w:p>
    <w:p w14:paraId="271AF7CE" w14:textId="0FCF6267" w:rsidR="00DB1E4A" w:rsidRPr="00792353" w:rsidRDefault="0060440A" w:rsidP="002A7513">
      <w:pPr>
        <w:tabs>
          <w:tab w:val="left" w:pos="0"/>
        </w:tabs>
        <w:spacing w:before="240" w:line="240" w:lineRule="auto"/>
        <w:jc w:val="both"/>
        <w:rPr>
          <w:rFonts w:ascii="Verdana" w:eastAsia="Verdana" w:hAnsi="Verdana" w:cs="Verdana"/>
          <w:i/>
          <w:iCs/>
          <w:sz w:val="20"/>
          <w:szCs w:val="20"/>
        </w:rPr>
      </w:pPr>
      <w:r w:rsidRPr="00792353">
        <w:rPr>
          <w:rFonts w:ascii="Verdana" w:eastAsia="Calibri" w:hAnsi="Verdana" w:cs="Arial"/>
          <w:i/>
          <w:iCs/>
          <w:color w:val="000000"/>
          <w:sz w:val="20"/>
          <w:szCs w:val="20"/>
          <w:shd w:val="clear" w:color="auto" w:fill="FFFFFF"/>
        </w:rPr>
        <w:t xml:space="preserve">Para las Empresas que Cotizan en el Mercado de Valores, o que Captan o Administran Ahorro del Público, no es obligatoria la presentación de las Notas a los EE.FF. en la estructura uniforme propuesta por la CGN; sin embargo, si presentan una numeración y denominación de las notas diferente, deberán diligenciar como parte integral de sus notas generales, la tabla detallada en el Anexo “Homologación de estructura para empresas cotizantes” que hace parte de la presente </w:t>
      </w:r>
      <w:r w:rsidR="00301433" w:rsidRPr="00792353">
        <w:rPr>
          <w:rFonts w:ascii="Verdana" w:eastAsia="Calibri" w:hAnsi="Verdana" w:cs="Arial"/>
          <w:i/>
          <w:iCs/>
          <w:color w:val="000000"/>
          <w:sz w:val="20"/>
          <w:szCs w:val="20"/>
          <w:shd w:val="clear" w:color="auto" w:fill="FFFFFF"/>
        </w:rPr>
        <w:t>r</w:t>
      </w:r>
      <w:r w:rsidRPr="00792353">
        <w:rPr>
          <w:rFonts w:ascii="Verdana" w:eastAsia="Calibri" w:hAnsi="Verdana" w:cs="Arial"/>
          <w:i/>
          <w:iCs/>
          <w:color w:val="000000"/>
          <w:sz w:val="20"/>
          <w:szCs w:val="20"/>
          <w:shd w:val="clear" w:color="auto" w:fill="FFFFFF"/>
        </w:rPr>
        <w:t>esolución</w:t>
      </w:r>
      <w:r w:rsidR="00DB1E4A" w:rsidRPr="00792353">
        <w:rPr>
          <w:rFonts w:ascii="Verdana" w:eastAsia="Verdana" w:hAnsi="Verdana" w:cs="Verdana"/>
          <w:i/>
          <w:iCs/>
          <w:sz w:val="20"/>
          <w:szCs w:val="20"/>
        </w:rPr>
        <w:t>.</w:t>
      </w:r>
    </w:p>
    <w:p w14:paraId="6802ADFE" w14:textId="21DF2D41" w:rsidR="0060440A" w:rsidRPr="00792353" w:rsidRDefault="0060440A" w:rsidP="002A7513">
      <w:pPr>
        <w:tabs>
          <w:tab w:val="left" w:pos="0"/>
        </w:tabs>
        <w:spacing w:before="240" w:line="240" w:lineRule="auto"/>
        <w:jc w:val="both"/>
        <w:rPr>
          <w:rFonts w:ascii="Verdana" w:eastAsia="Verdana" w:hAnsi="Verdana" w:cs="Verdana"/>
          <w:i/>
          <w:iCs/>
          <w:sz w:val="20"/>
          <w:szCs w:val="20"/>
        </w:rPr>
      </w:pPr>
      <w:r w:rsidRPr="00792353">
        <w:rPr>
          <w:rFonts w:ascii="Verdana" w:eastAsia="Verdana" w:hAnsi="Verdana" w:cs="Verdana"/>
          <w:i/>
          <w:iCs/>
          <w:sz w:val="20"/>
          <w:szCs w:val="20"/>
        </w:rPr>
        <w:t>La Contaduría General de la Nación pone a disposición de las entidades, anexos de apoyo en formato Excel, que tienen como objetivo facilitar la preparación de las notas a los Estados Financieros, los cuales se relacionan con las revelaciones establecidas en cada marco normativo. Estos anexos no son objeto de reporte a la CGN.</w:t>
      </w:r>
    </w:p>
    <w:p w14:paraId="3671490F" w14:textId="0E1950D4" w:rsidR="002739E9" w:rsidRPr="00792353" w:rsidRDefault="0060440A" w:rsidP="002A7513">
      <w:pPr>
        <w:tabs>
          <w:tab w:val="left" w:pos="0"/>
        </w:tabs>
        <w:spacing w:before="240" w:line="240" w:lineRule="auto"/>
        <w:jc w:val="both"/>
        <w:rPr>
          <w:rFonts w:ascii="Verdana" w:eastAsia="Verdana" w:hAnsi="Verdana" w:cs="Verdana"/>
          <w:i/>
          <w:iCs/>
          <w:sz w:val="20"/>
          <w:szCs w:val="20"/>
        </w:rPr>
      </w:pPr>
      <w:r w:rsidRPr="00792353">
        <w:rPr>
          <w:rFonts w:ascii="Verdana" w:eastAsia="Verdana" w:hAnsi="Verdana" w:cs="Verdana"/>
          <w:i/>
          <w:iCs/>
          <w:sz w:val="20"/>
          <w:szCs w:val="20"/>
        </w:rPr>
        <w:t>Aquellas entidades y empresas que dispongan de aplicativos u otras bases de datos con mayor detalle de información o diseños diferentes, podrán omitir, ajustar o complementar el uso de estos anexos para la preparación de sus notas. Estos anexos son:</w:t>
      </w:r>
    </w:p>
    <w:p w14:paraId="4CC35BA2" w14:textId="6351B604"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 xml:space="preserve">Anexo N_5 - Efectivo y </w:t>
      </w:r>
      <w:proofErr w:type="spellStart"/>
      <w:r w:rsidRPr="00792353">
        <w:rPr>
          <w:rFonts w:ascii="Verdana" w:eastAsia="Verdana" w:hAnsi="Verdana" w:cs="Verdana"/>
          <w:i/>
          <w:iCs/>
          <w:sz w:val="20"/>
          <w:szCs w:val="20"/>
        </w:rPr>
        <w:t>Equiv_al_Efectivo</w:t>
      </w:r>
      <w:proofErr w:type="spellEnd"/>
    </w:p>
    <w:p w14:paraId="7D9F2665" w14:textId="2DE4EF47"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 xml:space="preserve">Anexo N_6 - Inversiones e </w:t>
      </w:r>
      <w:proofErr w:type="spellStart"/>
      <w:r w:rsidRPr="00792353">
        <w:rPr>
          <w:rFonts w:ascii="Verdana" w:eastAsia="Verdana" w:hAnsi="Verdana" w:cs="Verdana"/>
          <w:i/>
          <w:iCs/>
          <w:sz w:val="20"/>
          <w:szCs w:val="20"/>
        </w:rPr>
        <w:t>Instr_Derivados</w:t>
      </w:r>
      <w:proofErr w:type="spellEnd"/>
    </w:p>
    <w:p w14:paraId="1185A4B8" w14:textId="77777777"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N_7 - Cuentas por cobrar</w:t>
      </w:r>
    </w:p>
    <w:p w14:paraId="1DFA618E" w14:textId="35EC3D67"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N_8 - Préstamos por cobrar</w:t>
      </w:r>
    </w:p>
    <w:p w14:paraId="297D58A8" w14:textId="3000B884"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lastRenderedPageBreak/>
        <w:t>Anexo N_9 - Inventarios</w:t>
      </w:r>
    </w:p>
    <w:p w14:paraId="48BEF73A" w14:textId="75606DD3"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N_10 - Propiedades, planta y equipo</w:t>
      </w:r>
    </w:p>
    <w:p w14:paraId="611F4FE0" w14:textId="50076C70"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 xml:space="preserve">Anexo N_11 - Bienes Uso público, </w:t>
      </w:r>
      <w:proofErr w:type="spellStart"/>
      <w:r w:rsidRPr="00792353">
        <w:rPr>
          <w:rFonts w:ascii="Verdana" w:eastAsia="Verdana" w:hAnsi="Verdana" w:cs="Verdana"/>
          <w:i/>
          <w:iCs/>
          <w:sz w:val="20"/>
          <w:szCs w:val="20"/>
        </w:rPr>
        <w:t>histór</w:t>
      </w:r>
      <w:proofErr w:type="spellEnd"/>
      <w:r w:rsidRPr="00792353">
        <w:rPr>
          <w:rFonts w:ascii="Verdana" w:eastAsia="Verdana" w:hAnsi="Verdana" w:cs="Verdana"/>
          <w:i/>
          <w:iCs/>
          <w:sz w:val="20"/>
          <w:szCs w:val="20"/>
        </w:rPr>
        <w:t xml:space="preserve"> y culturales</w:t>
      </w:r>
    </w:p>
    <w:p w14:paraId="09481C1F" w14:textId="2B313693"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 xml:space="preserve">Anexo N_12 - </w:t>
      </w:r>
      <w:proofErr w:type="spellStart"/>
      <w:r w:rsidRPr="00792353">
        <w:rPr>
          <w:rFonts w:ascii="Verdana" w:eastAsia="Verdana" w:hAnsi="Verdana" w:cs="Verdana"/>
          <w:i/>
          <w:iCs/>
          <w:sz w:val="20"/>
          <w:szCs w:val="20"/>
        </w:rPr>
        <w:t>Rec_Nat</w:t>
      </w:r>
      <w:proofErr w:type="spellEnd"/>
      <w:r w:rsidRPr="00792353">
        <w:rPr>
          <w:rFonts w:ascii="Verdana" w:eastAsia="Verdana" w:hAnsi="Verdana" w:cs="Verdana"/>
          <w:i/>
          <w:iCs/>
          <w:sz w:val="20"/>
          <w:szCs w:val="20"/>
        </w:rPr>
        <w:t xml:space="preserve"> No Renovables</w:t>
      </w:r>
    </w:p>
    <w:p w14:paraId="2E6B7946" w14:textId="60E02549"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N_13 - Propiedades de inversión</w:t>
      </w:r>
    </w:p>
    <w:p w14:paraId="6C184C1E" w14:textId="748BAD8E"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N_14 - Activos intangibles</w:t>
      </w:r>
    </w:p>
    <w:p w14:paraId="7B2D04FE" w14:textId="780D4BDF"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N_15 - Activos biológicos</w:t>
      </w:r>
    </w:p>
    <w:p w14:paraId="09258C46" w14:textId="101D607B"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N_16 - Otros derechos y garantías</w:t>
      </w:r>
    </w:p>
    <w:p w14:paraId="0083009F" w14:textId="005C5BF6"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N_17 - Arrendamientos</w:t>
      </w:r>
    </w:p>
    <w:p w14:paraId="3CBB872A" w14:textId="2128E795"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N_18 - Costos de financiación</w:t>
      </w:r>
    </w:p>
    <w:p w14:paraId="013D20F7" w14:textId="06A27F70"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N_19 - Emisión y colocación de títulos de deuda</w:t>
      </w:r>
    </w:p>
    <w:p w14:paraId="21266658" w14:textId="34DC702E"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N_20 - Préstamos por pagar</w:t>
      </w:r>
    </w:p>
    <w:p w14:paraId="593103CD" w14:textId="346C05FC"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N_21 - Cuentas por pagar</w:t>
      </w:r>
    </w:p>
    <w:p w14:paraId="486BBFE7" w14:textId="17523714"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N_22 - Beneficios a empleados y plan de activos</w:t>
      </w:r>
    </w:p>
    <w:p w14:paraId="68ADDCC7" w14:textId="785CB284"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N_23 - Provisiones</w:t>
      </w:r>
    </w:p>
    <w:p w14:paraId="70FBB2A7" w14:textId="63ED62C0"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N_24 - Otros pasivos</w:t>
      </w:r>
    </w:p>
    <w:p w14:paraId="0301B43F" w14:textId="47DAED5C"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N_25 - Activos y pasivos contingentes</w:t>
      </w:r>
    </w:p>
    <w:p w14:paraId="736C86DC" w14:textId="7BA7495D"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N_26 – Cuentas de orden (otras)</w:t>
      </w:r>
    </w:p>
    <w:p w14:paraId="257EAC0C" w14:textId="3B2CBA76"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N_27 - Patrimonio</w:t>
      </w:r>
    </w:p>
    <w:p w14:paraId="079B1829" w14:textId="5B9D35F6"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N_28 - Ingresos</w:t>
      </w:r>
    </w:p>
    <w:p w14:paraId="63FAA187" w14:textId="68390AFB"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N_29 - Gastos</w:t>
      </w:r>
    </w:p>
    <w:p w14:paraId="2113A092" w14:textId="4629A19D"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N_30 - Costos de ventas</w:t>
      </w:r>
    </w:p>
    <w:p w14:paraId="0903C36E" w14:textId="5D435C22"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N_31 - Costos de transformación</w:t>
      </w:r>
    </w:p>
    <w:p w14:paraId="706D03E3" w14:textId="24F1ED81"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N_32 - Acuerdos de concesión</w:t>
      </w:r>
    </w:p>
    <w:p w14:paraId="213B0CC2" w14:textId="66255FA4"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 xml:space="preserve">Anexo N_33 - </w:t>
      </w:r>
      <w:proofErr w:type="spellStart"/>
      <w:r w:rsidRPr="00792353">
        <w:rPr>
          <w:rFonts w:ascii="Verdana" w:eastAsia="Verdana" w:hAnsi="Verdana" w:cs="Verdana"/>
          <w:i/>
          <w:iCs/>
          <w:sz w:val="20"/>
          <w:szCs w:val="20"/>
        </w:rPr>
        <w:t>Admón</w:t>
      </w:r>
      <w:proofErr w:type="spellEnd"/>
      <w:r w:rsidRPr="00792353">
        <w:rPr>
          <w:rFonts w:ascii="Verdana" w:eastAsia="Verdana" w:hAnsi="Verdana" w:cs="Verdana"/>
          <w:i/>
          <w:iCs/>
          <w:sz w:val="20"/>
          <w:szCs w:val="20"/>
        </w:rPr>
        <w:t xml:space="preserve"> </w:t>
      </w:r>
      <w:proofErr w:type="spellStart"/>
      <w:r w:rsidRPr="00792353">
        <w:rPr>
          <w:rFonts w:ascii="Verdana" w:eastAsia="Verdana" w:hAnsi="Verdana" w:cs="Verdana"/>
          <w:i/>
          <w:iCs/>
          <w:sz w:val="20"/>
          <w:szCs w:val="20"/>
        </w:rPr>
        <w:t>Rec_de</w:t>
      </w:r>
      <w:proofErr w:type="spellEnd"/>
      <w:r w:rsidRPr="00792353">
        <w:rPr>
          <w:rFonts w:ascii="Verdana" w:eastAsia="Verdana" w:hAnsi="Verdana" w:cs="Verdana"/>
          <w:i/>
          <w:iCs/>
          <w:sz w:val="20"/>
          <w:szCs w:val="20"/>
        </w:rPr>
        <w:t xml:space="preserve"> </w:t>
      </w:r>
      <w:proofErr w:type="spellStart"/>
      <w:r w:rsidRPr="00792353">
        <w:rPr>
          <w:rFonts w:ascii="Verdana" w:eastAsia="Verdana" w:hAnsi="Verdana" w:cs="Verdana"/>
          <w:i/>
          <w:iCs/>
          <w:sz w:val="20"/>
          <w:szCs w:val="20"/>
        </w:rPr>
        <w:t>Seg_Soc</w:t>
      </w:r>
      <w:proofErr w:type="spellEnd"/>
      <w:r w:rsidRPr="00792353">
        <w:rPr>
          <w:rFonts w:ascii="Verdana" w:eastAsia="Verdana" w:hAnsi="Verdana" w:cs="Verdana"/>
          <w:i/>
          <w:iCs/>
          <w:sz w:val="20"/>
          <w:szCs w:val="20"/>
        </w:rPr>
        <w:t xml:space="preserve"> en Pensiones</w:t>
      </w:r>
    </w:p>
    <w:p w14:paraId="71653A87" w14:textId="6B7C7A77"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N_34 - Var tasa de cambio moneda extranjera</w:t>
      </w:r>
    </w:p>
    <w:p w14:paraId="07ADA870" w14:textId="2B2C29C4" w:rsidR="0060440A" w:rsidRPr="00792353" w:rsidRDefault="0060440A" w:rsidP="0060440A">
      <w:pPr>
        <w:pStyle w:val="Prrafodelista"/>
        <w:numPr>
          <w:ilvl w:val="0"/>
          <w:numId w:val="16"/>
        </w:numPr>
        <w:tabs>
          <w:tab w:val="left" w:pos="0"/>
        </w:tabs>
        <w:spacing w:after="0" w:line="240" w:lineRule="auto"/>
        <w:jc w:val="both"/>
        <w:rPr>
          <w:rFonts w:ascii="Verdana" w:eastAsia="Verdana" w:hAnsi="Verdana" w:cs="Verdana"/>
          <w:i/>
          <w:iCs/>
          <w:sz w:val="20"/>
          <w:szCs w:val="20"/>
        </w:rPr>
      </w:pPr>
      <w:r w:rsidRPr="00792353">
        <w:rPr>
          <w:rFonts w:ascii="Verdana" w:eastAsia="Verdana" w:hAnsi="Verdana" w:cs="Verdana"/>
          <w:i/>
          <w:iCs/>
          <w:sz w:val="20"/>
          <w:szCs w:val="20"/>
        </w:rPr>
        <w:t>Anexo N_35 - Impuesto a las ganancias</w:t>
      </w:r>
    </w:p>
    <w:p w14:paraId="6AB743BC" w14:textId="1145C125" w:rsidR="0060440A" w:rsidRPr="00792353" w:rsidRDefault="0060440A" w:rsidP="0027272F">
      <w:pPr>
        <w:tabs>
          <w:tab w:val="left" w:pos="0"/>
        </w:tabs>
        <w:spacing w:before="240" w:line="240" w:lineRule="auto"/>
        <w:jc w:val="both"/>
        <w:rPr>
          <w:rFonts w:ascii="Verdana" w:eastAsia="Verdana" w:hAnsi="Verdana" w:cs="Verdana"/>
          <w:i/>
          <w:iCs/>
          <w:sz w:val="20"/>
          <w:szCs w:val="20"/>
        </w:rPr>
      </w:pPr>
      <w:r w:rsidRPr="00792353">
        <w:rPr>
          <w:rFonts w:ascii="Verdana" w:eastAsia="Verdana" w:hAnsi="Verdana" w:cs="Verdana"/>
          <w:i/>
          <w:iCs/>
          <w:sz w:val="20"/>
          <w:szCs w:val="20"/>
        </w:rPr>
        <w:t>La “</w:t>
      </w:r>
      <w:r w:rsidR="0027272F" w:rsidRPr="0027272F">
        <w:rPr>
          <w:rFonts w:ascii="Verdana" w:eastAsia="Verdana" w:hAnsi="Verdana" w:cs="Verdana"/>
          <w:i/>
          <w:iCs/>
          <w:sz w:val="20"/>
          <w:szCs w:val="20"/>
        </w:rPr>
        <w:t>PLANTILLA PARA LA PREPARACIÓN Y PRESENTACIÓN UNIFORME</w:t>
      </w:r>
      <w:r w:rsidR="0027272F">
        <w:rPr>
          <w:rFonts w:ascii="Verdana" w:eastAsia="Verdana" w:hAnsi="Verdana" w:cs="Verdana"/>
          <w:i/>
          <w:iCs/>
          <w:sz w:val="20"/>
          <w:szCs w:val="20"/>
        </w:rPr>
        <w:t xml:space="preserve"> </w:t>
      </w:r>
      <w:r w:rsidR="0027272F" w:rsidRPr="0027272F">
        <w:rPr>
          <w:rFonts w:ascii="Verdana" w:eastAsia="Verdana" w:hAnsi="Verdana" w:cs="Verdana"/>
          <w:i/>
          <w:iCs/>
          <w:sz w:val="20"/>
          <w:szCs w:val="20"/>
        </w:rPr>
        <w:t>DE LAS NOTAS A LOS ESTADOS FINANCIEROS</w:t>
      </w:r>
      <w:r w:rsidRPr="00792353">
        <w:rPr>
          <w:rFonts w:ascii="Verdana" w:eastAsia="Verdana" w:hAnsi="Verdana" w:cs="Verdana"/>
          <w:i/>
          <w:iCs/>
          <w:sz w:val="20"/>
          <w:szCs w:val="20"/>
        </w:rPr>
        <w:t xml:space="preserve">” en formato Word y los “Anexos de apoyo para la preparación de las notas a los estados financieros” en formato Excel, debidamente actualizados, se publicarán para su descarga en la web institucional: www.contaduria.gov.co como anexos de la presente </w:t>
      </w:r>
      <w:r w:rsidR="00301433" w:rsidRPr="00792353">
        <w:rPr>
          <w:rFonts w:ascii="Verdana" w:eastAsia="Verdana" w:hAnsi="Verdana" w:cs="Verdana"/>
          <w:i/>
          <w:iCs/>
          <w:sz w:val="20"/>
          <w:szCs w:val="20"/>
        </w:rPr>
        <w:t>r</w:t>
      </w:r>
      <w:r w:rsidRPr="00792353">
        <w:rPr>
          <w:rFonts w:ascii="Verdana" w:eastAsia="Verdana" w:hAnsi="Verdana" w:cs="Verdana"/>
          <w:i/>
          <w:iCs/>
          <w:sz w:val="20"/>
          <w:szCs w:val="20"/>
        </w:rPr>
        <w:t>esolución</w:t>
      </w:r>
      <w:r w:rsidR="00792353" w:rsidRPr="00792353">
        <w:rPr>
          <w:rFonts w:ascii="Verdana" w:eastAsia="Verdana" w:hAnsi="Verdana" w:cs="Verdana"/>
          <w:i/>
          <w:iCs/>
          <w:sz w:val="20"/>
          <w:szCs w:val="20"/>
        </w:rPr>
        <w:t>”.</w:t>
      </w:r>
    </w:p>
    <w:p w14:paraId="779868CB" w14:textId="615611BD" w:rsidR="00792353" w:rsidRDefault="00DB1E4A" w:rsidP="002A7513">
      <w:pPr>
        <w:tabs>
          <w:tab w:val="left" w:pos="0"/>
        </w:tabs>
        <w:spacing w:before="240" w:line="240" w:lineRule="auto"/>
        <w:jc w:val="both"/>
        <w:rPr>
          <w:rFonts w:ascii="Verdana" w:eastAsia="Verdana" w:hAnsi="Verdana" w:cs="Verdana"/>
        </w:rPr>
      </w:pPr>
      <w:r w:rsidRPr="00641BC8">
        <w:rPr>
          <w:rFonts w:ascii="Verdana" w:eastAsia="Verdana" w:hAnsi="Verdana" w:cs="Verdana"/>
          <w:b/>
          <w:bCs/>
        </w:rPr>
        <w:t xml:space="preserve">ARTÍCULO </w:t>
      </w:r>
      <w:r w:rsidR="00792353">
        <w:rPr>
          <w:rFonts w:ascii="Verdana" w:eastAsia="Verdana" w:hAnsi="Verdana" w:cs="Verdana"/>
          <w:b/>
          <w:bCs/>
        </w:rPr>
        <w:t>2</w:t>
      </w:r>
      <w:r w:rsidRPr="00641BC8">
        <w:rPr>
          <w:rFonts w:ascii="Verdana" w:eastAsia="Verdana" w:hAnsi="Verdana" w:cs="Verdana"/>
          <w:b/>
          <w:bCs/>
        </w:rPr>
        <w:t xml:space="preserve">°. </w:t>
      </w:r>
      <w:r w:rsidR="005C4C18" w:rsidRPr="00641BC8">
        <w:rPr>
          <w:rFonts w:ascii="Verdana" w:eastAsia="Verdana" w:hAnsi="Verdana" w:cs="Verdana"/>
          <w:b/>
          <w:bCs/>
        </w:rPr>
        <w:t>VIGENCIA Y DEROGATORIAS</w:t>
      </w:r>
      <w:r w:rsidR="005C4C18" w:rsidRPr="00641BC8">
        <w:rPr>
          <w:rFonts w:ascii="Verdana" w:eastAsia="Verdana" w:hAnsi="Verdana" w:cs="Verdana"/>
        </w:rPr>
        <w:t xml:space="preserve"> </w:t>
      </w:r>
      <w:r w:rsidRPr="00641BC8">
        <w:rPr>
          <w:rFonts w:ascii="Verdana" w:eastAsia="Verdana" w:hAnsi="Verdana" w:cs="Verdana"/>
        </w:rPr>
        <w:t xml:space="preserve">La presente </w:t>
      </w:r>
      <w:r w:rsidR="00301433">
        <w:rPr>
          <w:rFonts w:ascii="Verdana" w:eastAsia="Verdana" w:hAnsi="Verdana" w:cs="Verdana"/>
        </w:rPr>
        <w:t>r</w:t>
      </w:r>
      <w:r w:rsidR="00E339ED" w:rsidRPr="00641BC8">
        <w:rPr>
          <w:rFonts w:ascii="Verdana" w:eastAsia="Verdana" w:hAnsi="Verdana" w:cs="Verdana"/>
        </w:rPr>
        <w:t xml:space="preserve">esolución </w:t>
      </w:r>
      <w:r w:rsidRPr="00641BC8">
        <w:rPr>
          <w:rFonts w:ascii="Verdana" w:eastAsia="Verdana" w:hAnsi="Verdana" w:cs="Verdana"/>
        </w:rPr>
        <w:t>rige a partir de la fecha de su publicación en el Diario Oficial, de conformidad con el artículo 119 de la Ley 489 de 1998</w:t>
      </w:r>
      <w:r w:rsidR="00301433">
        <w:rPr>
          <w:rFonts w:ascii="Verdana" w:eastAsia="Verdana" w:hAnsi="Verdana" w:cs="Verdana"/>
        </w:rPr>
        <w:t xml:space="preserve"> y el artículo 65 de la Ley 1437 de 2011, </w:t>
      </w:r>
      <w:r w:rsidR="00922DFD" w:rsidRPr="00641BC8">
        <w:rPr>
          <w:rFonts w:ascii="Verdana" w:eastAsia="Verdana" w:hAnsi="Verdana" w:cs="Verdana"/>
        </w:rPr>
        <w:t>y</w:t>
      </w:r>
      <w:r w:rsidRPr="00641BC8">
        <w:rPr>
          <w:rFonts w:ascii="Verdana" w:eastAsia="Verdana" w:hAnsi="Verdana" w:cs="Verdana"/>
        </w:rPr>
        <w:t xml:space="preserve"> </w:t>
      </w:r>
      <w:r w:rsidR="00792353">
        <w:rPr>
          <w:rFonts w:ascii="Verdana" w:eastAsia="Verdana" w:hAnsi="Verdana" w:cs="Verdana"/>
        </w:rPr>
        <w:t>modifica el parágrafo 3 del artículo 6 de la Resolución 411 de 2023.</w:t>
      </w:r>
    </w:p>
    <w:p w14:paraId="4D258008" w14:textId="1E2E1810" w:rsidR="00DB1E4A" w:rsidRDefault="00792353" w:rsidP="002A7513">
      <w:pPr>
        <w:tabs>
          <w:tab w:val="left" w:pos="0"/>
        </w:tabs>
        <w:spacing w:before="240" w:line="240" w:lineRule="auto"/>
        <w:jc w:val="both"/>
        <w:rPr>
          <w:rFonts w:ascii="Verdana" w:eastAsia="Verdana" w:hAnsi="Verdana" w:cs="Verdana"/>
        </w:rPr>
      </w:pPr>
      <w:r>
        <w:rPr>
          <w:rFonts w:ascii="Verdana" w:eastAsia="Verdana" w:hAnsi="Verdana" w:cs="Verdana"/>
        </w:rPr>
        <w:t xml:space="preserve">Las demás disposiciones contenidas en la </w:t>
      </w:r>
      <w:bookmarkStart w:id="3" w:name="_Hlk158018783"/>
      <w:r>
        <w:rPr>
          <w:rFonts w:ascii="Verdana" w:eastAsia="Verdana" w:hAnsi="Verdana" w:cs="Verdana"/>
        </w:rPr>
        <w:t xml:space="preserve">Resolución 411 de 2023 se mantienen vigentes y se derogan las Resoluciones </w:t>
      </w:r>
      <w:r w:rsidR="005D1D7B">
        <w:rPr>
          <w:rFonts w:ascii="Verdana" w:eastAsia="Verdana" w:hAnsi="Verdana" w:cs="Verdana"/>
        </w:rPr>
        <w:t>441 de 2019 y 193 de 2020</w:t>
      </w:r>
      <w:bookmarkEnd w:id="3"/>
      <w:r w:rsidR="00922DFD" w:rsidRPr="00641BC8">
        <w:rPr>
          <w:rFonts w:ascii="Verdana" w:eastAsia="Verdana" w:hAnsi="Verdana" w:cs="Verdana"/>
        </w:rPr>
        <w:t>.</w:t>
      </w:r>
      <w:r w:rsidR="00DB1E4A" w:rsidRPr="00641BC8">
        <w:rPr>
          <w:rFonts w:ascii="Verdana" w:eastAsia="Verdana" w:hAnsi="Verdana" w:cs="Verdana"/>
        </w:rPr>
        <w:t xml:space="preserve"> </w:t>
      </w:r>
    </w:p>
    <w:p w14:paraId="7E347FEC" w14:textId="77777777" w:rsidR="003F5DC6" w:rsidRPr="00641BC8" w:rsidRDefault="003F5DC6" w:rsidP="002A7513">
      <w:pPr>
        <w:tabs>
          <w:tab w:val="left" w:pos="0"/>
        </w:tabs>
        <w:spacing w:before="240" w:line="240" w:lineRule="auto"/>
        <w:jc w:val="both"/>
        <w:rPr>
          <w:rFonts w:ascii="Verdana" w:eastAsia="Verdana" w:hAnsi="Verdana" w:cs="Verdana"/>
        </w:rPr>
      </w:pPr>
    </w:p>
    <w:p w14:paraId="32AD7F56" w14:textId="4CA2A353" w:rsidR="00DB1E4A" w:rsidRPr="00641BC8" w:rsidRDefault="00DB1E4A" w:rsidP="002A7513">
      <w:pPr>
        <w:tabs>
          <w:tab w:val="left" w:pos="0"/>
        </w:tabs>
        <w:spacing w:before="240" w:line="240" w:lineRule="auto"/>
        <w:jc w:val="center"/>
        <w:rPr>
          <w:rFonts w:ascii="Verdana" w:eastAsia="Verdana" w:hAnsi="Verdana" w:cs="Verdana"/>
          <w:b/>
          <w:bCs/>
        </w:rPr>
      </w:pPr>
      <w:r w:rsidRPr="00641BC8">
        <w:rPr>
          <w:rFonts w:ascii="Verdana" w:eastAsia="Verdana" w:hAnsi="Verdana" w:cs="Verdana"/>
          <w:b/>
          <w:bCs/>
        </w:rPr>
        <w:t>PUBLÍQUESE, COMUNÍQUESE Y CÚMPLASE</w:t>
      </w:r>
    </w:p>
    <w:p w14:paraId="63460768" w14:textId="6AC22CAE" w:rsidR="00DB1E4A" w:rsidRPr="00641BC8" w:rsidRDefault="00DB1E4A" w:rsidP="002A7513">
      <w:pPr>
        <w:tabs>
          <w:tab w:val="left" w:pos="0"/>
        </w:tabs>
        <w:spacing w:before="240" w:line="240" w:lineRule="auto"/>
        <w:jc w:val="both"/>
        <w:rPr>
          <w:rFonts w:ascii="Verdana" w:eastAsia="Verdana" w:hAnsi="Verdana" w:cs="Verdana"/>
        </w:rPr>
      </w:pPr>
      <w:r w:rsidRPr="00641BC8">
        <w:rPr>
          <w:rFonts w:ascii="Verdana" w:eastAsia="Verdana" w:hAnsi="Verdana" w:cs="Verdana"/>
        </w:rPr>
        <w:t xml:space="preserve">Dada en Bogotá D.C. a los </w:t>
      </w:r>
      <w:r w:rsidR="00301433">
        <w:rPr>
          <w:rFonts w:ascii="Verdana" w:eastAsia="Verdana" w:hAnsi="Verdana" w:cs="Verdana"/>
        </w:rPr>
        <w:t xml:space="preserve">cinco </w:t>
      </w:r>
      <w:r w:rsidRPr="00301433">
        <w:rPr>
          <w:rFonts w:ascii="Verdana" w:eastAsia="Verdana" w:hAnsi="Verdana" w:cs="Verdana"/>
        </w:rPr>
        <w:t>(</w:t>
      </w:r>
      <w:r w:rsidR="0027272F" w:rsidRPr="0027272F">
        <w:rPr>
          <w:rFonts w:ascii="Verdana" w:eastAsia="Verdana" w:hAnsi="Verdana" w:cs="Verdana"/>
          <w:color w:val="C00000"/>
        </w:rPr>
        <w:t>##</w:t>
      </w:r>
      <w:r w:rsidRPr="00301433">
        <w:rPr>
          <w:rFonts w:ascii="Verdana" w:eastAsia="Verdana" w:hAnsi="Verdana" w:cs="Verdana"/>
        </w:rPr>
        <w:t>)</w:t>
      </w:r>
      <w:r w:rsidRPr="00641BC8">
        <w:rPr>
          <w:rFonts w:ascii="Verdana" w:eastAsia="Verdana" w:hAnsi="Verdana" w:cs="Verdana"/>
        </w:rPr>
        <w:t xml:space="preserve"> días del mes de </w:t>
      </w:r>
      <w:r w:rsidR="005D1D7B">
        <w:rPr>
          <w:rFonts w:ascii="Verdana" w:eastAsia="Verdana" w:hAnsi="Verdana" w:cs="Verdana"/>
        </w:rPr>
        <w:t>febrero</w:t>
      </w:r>
      <w:r w:rsidR="002A7513">
        <w:rPr>
          <w:rFonts w:ascii="Verdana" w:eastAsia="Verdana" w:hAnsi="Verdana" w:cs="Verdana"/>
        </w:rPr>
        <w:t xml:space="preserve"> </w:t>
      </w:r>
      <w:r w:rsidRPr="00641BC8">
        <w:rPr>
          <w:rFonts w:ascii="Verdana" w:eastAsia="Verdana" w:hAnsi="Verdana" w:cs="Verdana"/>
        </w:rPr>
        <w:t>de 202</w:t>
      </w:r>
      <w:r w:rsidR="005D1D7B">
        <w:rPr>
          <w:rFonts w:ascii="Verdana" w:eastAsia="Verdana" w:hAnsi="Verdana" w:cs="Verdana"/>
        </w:rPr>
        <w:t>4</w:t>
      </w:r>
      <w:r w:rsidRPr="00641BC8">
        <w:rPr>
          <w:rFonts w:ascii="Verdana" w:eastAsia="Verdana" w:hAnsi="Verdana" w:cs="Verdana"/>
        </w:rPr>
        <w:t>.</w:t>
      </w:r>
    </w:p>
    <w:p w14:paraId="0B25C0D8" w14:textId="77777777" w:rsidR="00DB1E4A" w:rsidRDefault="00DB1E4A" w:rsidP="002A7513">
      <w:pPr>
        <w:tabs>
          <w:tab w:val="left" w:pos="0"/>
        </w:tabs>
        <w:spacing w:before="240" w:line="240" w:lineRule="auto"/>
        <w:jc w:val="center"/>
        <w:rPr>
          <w:rFonts w:ascii="Verdana" w:eastAsia="Verdana" w:hAnsi="Verdana" w:cs="Verdana"/>
        </w:rPr>
      </w:pPr>
    </w:p>
    <w:p w14:paraId="2FAFDC92" w14:textId="77777777" w:rsidR="00BE0A26" w:rsidRPr="00641BC8" w:rsidRDefault="00BE0A26" w:rsidP="002A7513">
      <w:pPr>
        <w:tabs>
          <w:tab w:val="left" w:pos="0"/>
        </w:tabs>
        <w:spacing w:before="240" w:line="240" w:lineRule="auto"/>
        <w:jc w:val="center"/>
        <w:rPr>
          <w:rFonts w:ascii="Verdana" w:eastAsia="Verdana" w:hAnsi="Verdana" w:cs="Verdana"/>
        </w:rPr>
      </w:pPr>
    </w:p>
    <w:p w14:paraId="4263C2BC" w14:textId="77777777" w:rsidR="00DB1E4A" w:rsidRPr="00641BC8" w:rsidRDefault="00DB1E4A" w:rsidP="002A7513">
      <w:pPr>
        <w:tabs>
          <w:tab w:val="left" w:pos="0"/>
        </w:tabs>
        <w:spacing w:before="240" w:after="0" w:line="240" w:lineRule="auto"/>
        <w:jc w:val="center"/>
        <w:rPr>
          <w:rFonts w:ascii="Verdana" w:eastAsia="Verdana" w:hAnsi="Verdana" w:cs="Verdana"/>
          <w:b/>
          <w:bCs/>
        </w:rPr>
      </w:pPr>
      <w:r w:rsidRPr="00641BC8">
        <w:rPr>
          <w:rFonts w:ascii="Verdana" w:eastAsia="Verdana" w:hAnsi="Verdana" w:cs="Verdana"/>
          <w:b/>
          <w:bCs/>
        </w:rPr>
        <w:t>MAURICIO GÓMEZ VILLEGAS</w:t>
      </w:r>
    </w:p>
    <w:p w14:paraId="6317CC2A" w14:textId="6E52FF62" w:rsidR="00DB1E4A" w:rsidRPr="002A7513" w:rsidRDefault="00DB1E4A" w:rsidP="002A7513">
      <w:pPr>
        <w:tabs>
          <w:tab w:val="left" w:pos="0"/>
        </w:tabs>
        <w:spacing w:line="240" w:lineRule="auto"/>
        <w:jc w:val="center"/>
        <w:rPr>
          <w:rFonts w:ascii="Verdana" w:eastAsia="Verdana" w:hAnsi="Verdana" w:cs="Verdana"/>
        </w:rPr>
      </w:pPr>
      <w:r w:rsidRPr="00641BC8">
        <w:rPr>
          <w:rFonts w:ascii="Verdana" w:eastAsia="Verdana" w:hAnsi="Verdana" w:cs="Verdana"/>
        </w:rPr>
        <w:t>Contador General de la Nación</w:t>
      </w:r>
    </w:p>
    <w:p w14:paraId="23004B5D" w14:textId="116754F1" w:rsidR="00DB1E4A" w:rsidRPr="00641BC8" w:rsidRDefault="00DB1E4A" w:rsidP="005D1D7B">
      <w:pPr>
        <w:spacing w:after="0" w:line="240" w:lineRule="auto"/>
        <w:ind w:left="709" w:hanging="709"/>
        <w:jc w:val="both"/>
        <w:rPr>
          <w:rFonts w:ascii="Verdana" w:eastAsia="Verdana" w:hAnsi="Verdana" w:cs="Verdana"/>
          <w:sz w:val="14"/>
          <w:szCs w:val="14"/>
        </w:rPr>
      </w:pPr>
      <w:r w:rsidRPr="00641BC8">
        <w:rPr>
          <w:rFonts w:ascii="Verdana" w:eastAsia="Verdana" w:hAnsi="Verdana" w:cs="Verdana"/>
          <w:sz w:val="14"/>
          <w:szCs w:val="14"/>
        </w:rPr>
        <w:t>Proyectó:</w:t>
      </w:r>
      <w:r w:rsidR="00641BC8" w:rsidRPr="00641BC8">
        <w:rPr>
          <w:rFonts w:ascii="Verdana" w:eastAsia="Verdana" w:hAnsi="Verdana" w:cs="Verdana"/>
          <w:sz w:val="14"/>
          <w:szCs w:val="14"/>
        </w:rPr>
        <w:tab/>
      </w:r>
      <w:r w:rsidRPr="00641BC8">
        <w:rPr>
          <w:rFonts w:ascii="Verdana" w:eastAsia="Verdana" w:hAnsi="Verdana" w:cs="Verdana"/>
          <w:sz w:val="14"/>
          <w:szCs w:val="14"/>
        </w:rPr>
        <w:t>Jackson Stewar Ackine Leguizamo / Julián Andrés Noguera</w:t>
      </w:r>
      <w:r w:rsidR="00641BC8" w:rsidRPr="00641BC8">
        <w:rPr>
          <w:rFonts w:ascii="Verdana" w:eastAsia="Verdana" w:hAnsi="Verdana" w:cs="Verdana"/>
          <w:sz w:val="14"/>
          <w:szCs w:val="14"/>
        </w:rPr>
        <w:t xml:space="preserve"> </w:t>
      </w:r>
      <w:proofErr w:type="spellStart"/>
      <w:r w:rsidRPr="00641BC8">
        <w:rPr>
          <w:rFonts w:ascii="Verdana" w:eastAsia="Verdana" w:hAnsi="Verdana" w:cs="Verdana"/>
          <w:sz w:val="14"/>
          <w:szCs w:val="14"/>
        </w:rPr>
        <w:t>Oyaga</w:t>
      </w:r>
      <w:proofErr w:type="spellEnd"/>
      <w:r w:rsidRPr="00641BC8">
        <w:rPr>
          <w:rFonts w:ascii="Verdana" w:eastAsia="Verdana" w:hAnsi="Verdana" w:cs="Verdana"/>
          <w:sz w:val="14"/>
          <w:szCs w:val="14"/>
        </w:rPr>
        <w:t xml:space="preserve"> / Blanca Ofelia Martínez </w:t>
      </w:r>
      <w:proofErr w:type="spellStart"/>
      <w:r w:rsidRPr="00641BC8">
        <w:rPr>
          <w:rFonts w:ascii="Verdana" w:eastAsia="Verdana" w:hAnsi="Verdana" w:cs="Verdana"/>
          <w:sz w:val="14"/>
          <w:szCs w:val="14"/>
        </w:rPr>
        <w:t>Martínez</w:t>
      </w:r>
      <w:proofErr w:type="spellEnd"/>
    </w:p>
    <w:p w14:paraId="136CC987" w14:textId="66B95ACC" w:rsidR="00DB1E4A" w:rsidRPr="00641BC8" w:rsidRDefault="00DB1E4A" w:rsidP="005D1D7B">
      <w:pPr>
        <w:spacing w:after="0" w:line="240" w:lineRule="auto"/>
        <w:ind w:left="709" w:hanging="709"/>
        <w:jc w:val="both"/>
        <w:rPr>
          <w:rFonts w:ascii="Verdana" w:eastAsia="Verdana" w:hAnsi="Verdana" w:cs="Verdana"/>
          <w:sz w:val="14"/>
          <w:szCs w:val="14"/>
        </w:rPr>
      </w:pPr>
      <w:r w:rsidRPr="00641BC8">
        <w:rPr>
          <w:rFonts w:ascii="Verdana" w:eastAsia="Verdana" w:hAnsi="Verdana" w:cs="Verdana"/>
          <w:sz w:val="14"/>
          <w:szCs w:val="14"/>
        </w:rPr>
        <w:t>Revisó:</w:t>
      </w:r>
      <w:r w:rsidR="00641BC8" w:rsidRPr="00641BC8">
        <w:rPr>
          <w:rFonts w:ascii="Verdana" w:eastAsia="Verdana" w:hAnsi="Verdana" w:cs="Verdana"/>
          <w:sz w:val="14"/>
          <w:szCs w:val="14"/>
        </w:rPr>
        <w:tab/>
      </w:r>
      <w:r w:rsidRPr="00641BC8">
        <w:rPr>
          <w:rFonts w:ascii="Verdana" w:eastAsia="Verdana" w:hAnsi="Verdana" w:cs="Verdana"/>
          <w:sz w:val="14"/>
          <w:szCs w:val="14"/>
        </w:rPr>
        <w:t xml:space="preserve">Luis Jaime Valencia Cubillos / Juan Camilo Santamaría Herrera / </w:t>
      </w:r>
      <w:r w:rsidR="00641BC8" w:rsidRPr="00641BC8">
        <w:rPr>
          <w:rFonts w:ascii="Verdana" w:eastAsia="Verdana" w:hAnsi="Verdana" w:cs="Verdana"/>
          <w:sz w:val="14"/>
          <w:szCs w:val="14"/>
        </w:rPr>
        <w:t xml:space="preserve">Rocío Pérez Sotelo / </w:t>
      </w:r>
      <w:r w:rsidR="005D1D7B">
        <w:rPr>
          <w:rFonts w:ascii="Verdana" w:eastAsia="Verdana" w:hAnsi="Verdana" w:cs="Verdana"/>
          <w:sz w:val="14"/>
          <w:szCs w:val="14"/>
        </w:rPr>
        <w:t>César Augusto Rincón Vicentes</w:t>
      </w:r>
    </w:p>
    <w:sectPr w:rsidR="00DB1E4A" w:rsidRPr="00641BC8" w:rsidSect="000C1D9C">
      <w:headerReference w:type="default" r:id="rId8"/>
      <w:footerReference w:type="default" r:id="rId9"/>
      <w:headerReference w:type="first" r:id="rId10"/>
      <w:pgSz w:w="12240" w:h="20160" w:code="5"/>
      <w:pgMar w:top="1417" w:right="1701" w:bottom="3403" w:left="1701" w:header="708" w:footer="9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3FE0" w14:textId="77777777" w:rsidR="000C1D9C" w:rsidRDefault="000C1D9C" w:rsidP="007C15FE">
      <w:pPr>
        <w:spacing w:after="0" w:line="240" w:lineRule="auto"/>
      </w:pPr>
      <w:r>
        <w:separator/>
      </w:r>
    </w:p>
  </w:endnote>
  <w:endnote w:type="continuationSeparator" w:id="0">
    <w:p w14:paraId="0F90DEE0" w14:textId="77777777" w:rsidR="000C1D9C" w:rsidRDefault="000C1D9C" w:rsidP="007C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567100"/>
      <w:docPartObj>
        <w:docPartGallery w:val="Page Numbers (Bottom of Page)"/>
        <w:docPartUnique/>
      </w:docPartObj>
    </w:sdtPr>
    <w:sdtContent>
      <w:sdt>
        <w:sdtPr>
          <w:id w:val="-1769616900"/>
          <w:docPartObj>
            <w:docPartGallery w:val="Page Numbers (Top of Page)"/>
            <w:docPartUnique/>
          </w:docPartObj>
        </w:sdtPr>
        <w:sdtContent>
          <w:p w14:paraId="0454B51B" w14:textId="102296F0" w:rsidR="009D09F9" w:rsidRDefault="009D09F9">
            <w:pPr>
              <w:pStyle w:val="Piedepgina"/>
              <w:jc w:val="right"/>
            </w:pPr>
            <w:r w:rsidRPr="009D09F9">
              <w:t xml:space="preserve">Hoja </w:t>
            </w:r>
            <w:r w:rsidRPr="003425C1">
              <w:rPr>
                <w:sz w:val="24"/>
                <w:szCs w:val="24"/>
              </w:rPr>
              <w:fldChar w:fldCharType="begin"/>
            </w:r>
            <w:r w:rsidRPr="003425C1">
              <w:instrText xml:space="preserve"> PAGE </w:instrText>
            </w:r>
            <w:r w:rsidRPr="003425C1">
              <w:rPr>
                <w:sz w:val="24"/>
                <w:szCs w:val="24"/>
              </w:rPr>
              <w:fldChar w:fldCharType="separate"/>
            </w:r>
            <w:r w:rsidRPr="003425C1">
              <w:rPr>
                <w:noProof/>
              </w:rPr>
              <w:t>2</w:t>
            </w:r>
            <w:r w:rsidRPr="003425C1">
              <w:rPr>
                <w:sz w:val="24"/>
                <w:szCs w:val="24"/>
              </w:rPr>
              <w:fldChar w:fldCharType="end"/>
            </w:r>
            <w:r w:rsidRPr="009D09F9">
              <w:t xml:space="preserve"> de </w:t>
            </w:r>
            <w:r w:rsidRPr="003425C1">
              <w:rPr>
                <w:sz w:val="24"/>
                <w:szCs w:val="24"/>
              </w:rPr>
              <w:fldChar w:fldCharType="begin"/>
            </w:r>
            <w:r w:rsidRPr="003425C1">
              <w:instrText xml:space="preserve"> NUMPAGES  </w:instrText>
            </w:r>
            <w:r w:rsidRPr="003425C1">
              <w:rPr>
                <w:sz w:val="24"/>
                <w:szCs w:val="24"/>
              </w:rPr>
              <w:fldChar w:fldCharType="separate"/>
            </w:r>
            <w:r w:rsidRPr="003425C1">
              <w:rPr>
                <w:noProof/>
              </w:rPr>
              <w:t>2</w:t>
            </w:r>
            <w:r w:rsidRPr="003425C1">
              <w:rPr>
                <w:sz w:val="24"/>
                <w:szCs w:val="24"/>
              </w:rPr>
              <w:fldChar w:fldCharType="end"/>
            </w:r>
          </w:p>
        </w:sdtContent>
      </w:sdt>
    </w:sdtContent>
  </w:sdt>
  <w:p w14:paraId="7D55656C" w14:textId="77777777" w:rsidR="007C15FE" w:rsidRDefault="007C15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5607" w14:textId="77777777" w:rsidR="000C1D9C" w:rsidRDefault="000C1D9C" w:rsidP="007C15FE">
      <w:pPr>
        <w:spacing w:after="0" w:line="240" w:lineRule="auto"/>
      </w:pPr>
      <w:r>
        <w:separator/>
      </w:r>
    </w:p>
  </w:footnote>
  <w:footnote w:type="continuationSeparator" w:id="0">
    <w:p w14:paraId="3D068086" w14:textId="77777777" w:rsidR="000C1D9C" w:rsidRDefault="000C1D9C" w:rsidP="007C1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7D27" w14:textId="01A4169B" w:rsidR="007C15FE" w:rsidRDefault="0060440A">
    <w:pPr>
      <w:pStyle w:val="Encabezado"/>
    </w:pPr>
    <w:r>
      <w:rPr>
        <w:noProof/>
      </w:rPr>
      <mc:AlternateContent>
        <mc:Choice Requires="wps">
          <w:drawing>
            <wp:anchor distT="45720" distB="45720" distL="114300" distR="114300" simplePos="0" relativeHeight="251657216" behindDoc="0" locked="0" layoutInCell="1" allowOverlap="1" wp14:anchorId="3040A255" wp14:editId="2F229B2D">
              <wp:simplePos x="0" y="0"/>
              <wp:positionH relativeFrom="margin">
                <wp:posOffset>1110615</wp:posOffset>
              </wp:positionH>
              <wp:positionV relativeFrom="paragraph">
                <wp:posOffset>-249555</wp:posOffset>
              </wp:positionV>
              <wp:extent cx="3352800" cy="63817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38175"/>
                      </a:xfrm>
                      <a:prstGeom prst="rect">
                        <a:avLst/>
                      </a:prstGeom>
                      <a:solidFill>
                        <a:srgbClr val="FFFFFF"/>
                      </a:solidFill>
                      <a:ln w="9525">
                        <a:noFill/>
                        <a:miter lim="800000"/>
                        <a:headEnd/>
                        <a:tailEnd/>
                      </a:ln>
                    </wps:spPr>
                    <wps:txbx>
                      <w:txbxContent>
                        <w:p w14:paraId="692BE9A0" w14:textId="43492730" w:rsidR="00DB1E4A" w:rsidRPr="00DB1E4A" w:rsidRDefault="00EB28CF" w:rsidP="00DB1E4A">
                          <w:pPr>
                            <w:widowControl w:val="0"/>
                            <w:spacing w:after="0" w:line="240" w:lineRule="auto"/>
                            <w:jc w:val="both"/>
                            <w:rPr>
                              <w:i/>
                              <w:iCs/>
                              <w:sz w:val="16"/>
                              <w:szCs w:val="16"/>
                            </w:rPr>
                          </w:pPr>
                          <w:r w:rsidRPr="00DB1E4A">
                            <w:rPr>
                              <w:i/>
                              <w:iCs/>
                              <w:sz w:val="16"/>
                              <w:szCs w:val="16"/>
                            </w:rPr>
                            <w:t xml:space="preserve">Resolución No. </w:t>
                          </w:r>
                          <w:r w:rsidR="0060440A" w:rsidRPr="0060440A">
                            <w:rPr>
                              <w:i/>
                              <w:iCs/>
                              <w:color w:val="C00000"/>
                              <w:sz w:val="16"/>
                              <w:szCs w:val="16"/>
                            </w:rPr>
                            <w:t>###</w:t>
                          </w:r>
                          <w:r w:rsidRPr="00DB1E4A">
                            <w:rPr>
                              <w:i/>
                              <w:iCs/>
                              <w:sz w:val="16"/>
                              <w:szCs w:val="16"/>
                            </w:rPr>
                            <w:t xml:space="preserve"> del</w:t>
                          </w:r>
                          <w:r w:rsidR="00454E0E">
                            <w:rPr>
                              <w:i/>
                              <w:iCs/>
                              <w:sz w:val="16"/>
                              <w:szCs w:val="16"/>
                            </w:rPr>
                            <w:t xml:space="preserve"> </w:t>
                          </w:r>
                          <w:proofErr w:type="spellStart"/>
                          <w:r w:rsidR="00CB3AE6">
                            <w:rPr>
                              <w:i/>
                              <w:iCs/>
                              <w:sz w:val="16"/>
                              <w:szCs w:val="16"/>
                            </w:rPr>
                            <w:t>xx</w:t>
                          </w:r>
                          <w:proofErr w:type="spellEnd"/>
                          <w:r w:rsidRPr="00DB1E4A">
                            <w:rPr>
                              <w:i/>
                              <w:iCs/>
                              <w:sz w:val="16"/>
                              <w:szCs w:val="16"/>
                            </w:rPr>
                            <w:t xml:space="preserve"> de </w:t>
                          </w:r>
                          <w:r w:rsidR="0060440A">
                            <w:rPr>
                              <w:i/>
                              <w:iCs/>
                              <w:sz w:val="16"/>
                              <w:szCs w:val="16"/>
                            </w:rPr>
                            <w:t xml:space="preserve">febrero </w:t>
                          </w:r>
                          <w:r w:rsidRPr="00DB1E4A">
                            <w:rPr>
                              <w:i/>
                              <w:iCs/>
                              <w:sz w:val="16"/>
                              <w:szCs w:val="16"/>
                            </w:rPr>
                            <w:t>de</w:t>
                          </w:r>
                          <w:r w:rsidR="00454E0E">
                            <w:rPr>
                              <w:i/>
                              <w:iCs/>
                              <w:sz w:val="16"/>
                              <w:szCs w:val="16"/>
                            </w:rPr>
                            <w:t xml:space="preserve"> 2</w:t>
                          </w:r>
                          <w:r w:rsidRPr="00DB1E4A">
                            <w:rPr>
                              <w:i/>
                              <w:iCs/>
                              <w:sz w:val="16"/>
                              <w:szCs w:val="16"/>
                            </w:rPr>
                            <w:t>02</w:t>
                          </w:r>
                          <w:r w:rsidR="0060440A">
                            <w:rPr>
                              <w:i/>
                              <w:iCs/>
                              <w:sz w:val="16"/>
                              <w:szCs w:val="16"/>
                            </w:rPr>
                            <w:t>4</w:t>
                          </w:r>
                          <w:r w:rsidRPr="00DB1E4A">
                            <w:rPr>
                              <w:i/>
                              <w:iCs/>
                              <w:sz w:val="16"/>
                              <w:szCs w:val="16"/>
                            </w:rPr>
                            <w:t xml:space="preserve"> </w:t>
                          </w:r>
                          <w:r w:rsidR="001E5A06" w:rsidRPr="001E5A06">
                            <w:rPr>
                              <w:i/>
                              <w:iCs/>
                              <w:sz w:val="16"/>
                              <w:szCs w:val="16"/>
                            </w:rPr>
                            <w:t>Por la cual se modifica el parágrafo 3 del artículo 6 de la Resolución No. 411 de 2023 y se derogan las Resoluciones 441 de 2019 y 193 de 2020”.</w:t>
                          </w:r>
                        </w:p>
                        <w:p w14:paraId="7C112235" w14:textId="54AE80D5" w:rsidR="00DB1E4A" w:rsidRPr="00DB1E4A" w:rsidRDefault="00DB1E4A" w:rsidP="00DB1E4A">
                          <w:pPr>
                            <w:widowControl w:val="0"/>
                            <w:spacing w:after="0" w:line="240" w:lineRule="auto"/>
                            <w:jc w:val="center"/>
                            <w:rPr>
                              <w:rFonts w:ascii="Verdana" w:eastAsia="Verdana" w:hAnsi="Verdana" w:cs="Verdana"/>
                            </w:rPr>
                          </w:pPr>
                        </w:p>
                        <w:p w14:paraId="134336E0" w14:textId="385A507A" w:rsidR="00EB28CF" w:rsidRPr="00EB28CF" w:rsidRDefault="00EB28CF" w:rsidP="00EB28CF">
                          <w:pPr>
                            <w:jc w:val="both"/>
                            <w:rPr>
                              <w:i/>
                              <w:iCs/>
                              <w:sz w:val="16"/>
                              <w:szCs w:val="16"/>
                              <w:lang w:val="es-ES"/>
                            </w:rPr>
                          </w:pPr>
                          <w:r w:rsidRPr="00D0363A">
                            <w:rPr>
                              <w:i/>
                              <w:iCs/>
                              <w:sz w:val="16"/>
                              <w:szCs w:val="16"/>
                              <w:highlight w:val="yellow"/>
                            </w:rPr>
                            <w:t>”.</w:t>
                          </w:r>
                        </w:p>
                        <w:p w14:paraId="49FD12E9" w14:textId="319C67A1" w:rsidR="002D6806" w:rsidRDefault="002D6806" w:rsidP="002D6806">
                          <w:pPr>
                            <w:jc w:val="both"/>
                            <w:rPr>
                              <w:sz w:val="16"/>
                              <w:szCs w:val="16"/>
                              <w:lang w:val="es-ES"/>
                            </w:rPr>
                          </w:pPr>
                        </w:p>
                        <w:p w14:paraId="6D86489D" w14:textId="77777777" w:rsidR="002D6806" w:rsidRDefault="002D6806" w:rsidP="002D6806">
                          <w:pPr>
                            <w:jc w:val="both"/>
                            <w:rPr>
                              <w:sz w:val="16"/>
                              <w:szCs w:val="16"/>
                              <w:lang w:val="es-ES"/>
                            </w:rPr>
                          </w:pPr>
                        </w:p>
                        <w:p w14:paraId="3C3DD171" w14:textId="77777777" w:rsidR="002D6806" w:rsidRDefault="002D6806" w:rsidP="002D6806">
                          <w:pPr>
                            <w:jc w:val="both"/>
                            <w:rPr>
                              <w:sz w:val="16"/>
                              <w:szCs w:val="16"/>
                              <w:lang w:val="es-ES"/>
                            </w:rPr>
                          </w:pPr>
                        </w:p>
                        <w:p w14:paraId="41050C4D" w14:textId="77777777" w:rsidR="002D6806" w:rsidRDefault="002D6806" w:rsidP="002D6806">
                          <w:pPr>
                            <w:jc w:val="both"/>
                            <w:rPr>
                              <w:sz w:val="16"/>
                              <w:szCs w:val="16"/>
                              <w:lang w:val="es-ES"/>
                            </w:rPr>
                          </w:pPr>
                        </w:p>
                        <w:p w14:paraId="4AD49405" w14:textId="77777777" w:rsidR="002D6806" w:rsidRDefault="002D6806" w:rsidP="002D6806">
                          <w:pPr>
                            <w:jc w:val="both"/>
                            <w:rPr>
                              <w:sz w:val="16"/>
                              <w:szCs w:val="16"/>
                              <w:lang w:val="es-ES"/>
                            </w:rPr>
                          </w:pPr>
                        </w:p>
                        <w:p w14:paraId="146B6B83" w14:textId="77777777" w:rsidR="002D6806" w:rsidRDefault="002D6806" w:rsidP="002D6806">
                          <w:pPr>
                            <w:jc w:val="both"/>
                            <w:rPr>
                              <w:sz w:val="16"/>
                              <w:szCs w:val="16"/>
                              <w:lang w:val="es-ES"/>
                            </w:rPr>
                          </w:pPr>
                        </w:p>
                        <w:p w14:paraId="71099C15" w14:textId="77777777" w:rsidR="002D6806" w:rsidRPr="002D6806" w:rsidRDefault="002D6806" w:rsidP="002D6806">
                          <w:pPr>
                            <w:jc w:val="both"/>
                            <w:rPr>
                              <w:sz w:val="16"/>
                              <w:szCs w:val="1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0A255" id="_x0000_t202" coordsize="21600,21600" o:spt="202" path="m,l,21600r21600,l21600,xe">
              <v:stroke joinstyle="miter"/>
              <v:path gradientshapeok="t" o:connecttype="rect"/>
            </v:shapetype>
            <v:shape id="Cuadro de texto 2" o:spid="_x0000_s1026" type="#_x0000_t202" style="position:absolute;margin-left:87.45pt;margin-top:-19.65pt;width:264pt;height:50.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" stroked="f">
              <v:textbox>
                <w:txbxContent>
                  <w:p w14:paraId="692BE9A0" w14:textId="43492730" w:rsidR="00DB1E4A" w:rsidRPr="00DB1E4A" w:rsidRDefault="00EB28CF" w:rsidP="00DB1E4A">
                    <w:pPr>
                      <w:widowControl w:val="0"/>
                      <w:spacing w:after="0" w:line="240" w:lineRule="auto"/>
                      <w:jc w:val="both"/>
                      <w:rPr>
                        <w:i/>
                        <w:iCs/>
                        <w:sz w:val="16"/>
                        <w:szCs w:val="16"/>
                      </w:rPr>
                    </w:pPr>
                    <w:r w:rsidRPr="00DB1E4A">
                      <w:rPr>
                        <w:i/>
                        <w:iCs/>
                        <w:sz w:val="16"/>
                        <w:szCs w:val="16"/>
                      </w:rPr>
                      <w:t xml:space="preserve">Resolución No. </w:t>
                    </w:r>
                    <w:r w:rsidR="0060440A" w:rsidRPr="0060440A">
                      <w:rPr>
                        <w:i/>
                        <w:iCs/>
                        <w:color w:val="C00000"/>
                        <w:sz w:val="16"/>
                        <w:szCs w:val="16"/>
                      </w:rPr>
                      <w:t>###</w:t>
                    </w:r>
                    <w:r w:rsidRPr="00DB1E4A">
                      <w:rPr>
                        <w:i/>
                        <w:iCs/>
                        <w:sz w:val="16"/>
                        <w:szCs w:val="16"/>
                      </w:rPr>
                      <w:t xml:space="preserve"> del</w:t>
                    </w:r>
                    <w:r w:rsidR="00454E0E">
                      <w:rPr>
                        <w:i/>
                        <w:iCs/>
                        <w:sz w:val="16"/>
                        <w:szCs w:val="16"/>
                      </w:rPr>
                      <w:t xml:space="preserve"> </w:t>
                    </w:r>
                    <w:proofErr w:type="spellStart"/>
                    <w:r w:rsidR="00CB3AE6">
                      <w:rPr>
                        <w:i/>
                        <w:iCs/>
                        <w:sz w:val="16"/>
                        <w:szCs w:val="16"/>
                      </w:rPr>
                      <w:t>xx</w:t>
                    </w:r>
                    <w:proofErr w:type="spellEnd"/>
                    <w:r w:rsidRPr="00DB1E4A">
                      <w:rPr>
                        <w:i/>
                        <w:iCs/>
                        <w:sz w:val="16"/>
                        <w:szCs w:val="16"/>
                      </w:rPr>
                      <w:t xml:space="preserve"> de </w:t>
                    </w:r>
                    <w:r w:rsidR="0060440A">
                      <w:rPr>
                        <w:i/>
                        <w:iCs/>
                        <w:sz w:val="16"/>
                        <w:szCs w:val="16"/>
                      </w:rPr>
                      <w:t xml:space="preserve">febrero </w:t>
                    </w:r>
                    <w:r w:rsidRPr="00DB1E4A">
                      <w:rPr>
                        <w:i/>
                        <w:iCs/>
                        <w:sz w:val="16"/>
                        <w:szCs w:val="16"/>
                      </w:rPr>
                      <w:t>de</w:t>
                    </w:r>
                    <w:r w:rsidR="00454E0E">
                      <w:rPr>
                        <w:i/>
                        <w:iCs/>
                        <w:sz w:val="16"/>
                        <w:szCs w:val="16"/>
                      </w:rPr>
                      <w:t xml:space="preserve"> 2</w:t>
                    </w:r>
                    <w:r w:rsidRPr="00DB1E4A">
                      <w:rPr>
                        <w:i/>
                        <w:iCs/>
                        <w:sz w:val="16"/>
                        <w:szCs w:val="16"/>
                      </w:rPr>
                      <w:t>02</w:t>
                    </w:r>
                    <w:r w:rsidR="0060440A">
                      <w:rPr>
                        <w:i/>
                        <w:iCs/>
                        <w:sz w:val="16"/>
                        <w:szCs w:val="16"/>
                      </w:rPr>
                      <w:t>4</w:t>
                    </w:r>
                    <w:r w:rsidRPr="00DB1E4A">
                      <w:rPr>
                        <w:i/>
                        <w:iCs/>
                        <w:sz w:val="16"/>
                        <w:szCs w:val="16"/>
                      </w:rPr>
                      <w:t xml:space="preserve"> </w:t>
                    </w:r>
                    <w:r w:rsidR="001E5A06" w:rsidRPr="001E5A06">
                      <w:rPr>
                        <w:i/>
                        <w:iCs/>
                        <w:sz w:val="16"/>
                        <w:szCs w:val="16"/>
                      </w:rPr>
                      <w:t>Por la cual se modifica el parágrafo 3 del artículo 6 de la Resolución No. 411 de 2023 y se derogan las Resoluciones 441 de 2019 y 193 de 2020”.</w:t>
                    </w:r>
                  </w:p>
                  <w:p w14:paraId="7C112235" w14:textId="54AE80D5" w:rsidR="00DB1E4A" w:rsidRPr="00DB1E4A" w:rsidRDefault="00DB1E4A" w:rsidP="00DB1E4A">
                    <w:pPr>
                      <w:widowControl w:val="0"/>
                      <w:spacing w:after="0" w:line="240" w:lineRule="auto"/>
                      <w:jc w:val="center"/>
                      <w:rPr>
                        <w:rFonts w:ascii="Verdana" w:eastAsia="Verdana" w:hAnsi="Verdana" w:cs="Verdana"/>
                      </w:rPr>
                    </w:pPr>
                  </w:p>
                  <w:p w14:paraId="134336E0" w14:textId="385A507A" w:rsidR="00EB28CF" w:rsidRPr="00EB28CF" w:rsidRDefault="00EB28CF" w:rsidP="00EB28CF">
                    <w:pPr>
                      <w:jc w:val="both"/>
                      <w:rPr>
                        <w:i/>
                        <w:iCs/>
                        <w:sz w:val="16"/>
                        <w:szCs w:val="16"/>
                        <w:lang w:val="es-ES"/>
                      </w:rPr>
                    </w:pPr>
                    <w:r w:rsidRPr="00D0363A">
                      <w:rPr>
                        <w:i/>
                        <w:iCs/>
                        <w:sz w:val="16"/>
                        <w:szCs w:val="16"/>
                        <w:highlight w:val="yellow"/>
                      </w:rPr>
                      <w:t>”.</w:t>
                    </w:r>
                  </w:p>
                  <w:p w14:paraId="49FD12E9" w14:textId="319C67A1" w:rsidR="002D6806" w:rsidRDefault="002D6806" w:rsidP="002D6806">
                    <w:pPr>
                      <w:jc w:val="both"/>
                      <w:rPr>
                        <w:sz w:val="16"/>
                        <w:szCs w:val="16"/>
                        <w:lang w:val="es-ES"/>
                      </w:rPr>
                    </w:pPr>
                  </w:p>
                  <w:p w14:paraId="6D86489D" w14:textId="77777777" w:rsidR="002D6806" w:rsidRDefault="002D6806" w:rsidP="002D6806">
                    <w:pPr>
                      <w:jc w:val="both"/>
                      <w:rPr>
                        <w:sz w:val="16"/>
                        <w:szCs w:val="16"/>
                        <w:lang w:val="es-ES"/>
                      </w:rPr>
                    </w:pPr>
                  </w:p>
                  <w:p w14:paraId="3C3DD171" w14:textId="77777777" w:rsidR="002D6806" w:rsidRDefault="002D6806" w:rsidP="002D6806">
                    <w:pPr>
                      <w:jc w:val="both"/>
                      <w:rPr>
                        <w:sz w:val="16"/>
                        <w:szCs w:val="16"/>
                        <w:lang w:val="es-ES"/>
                      </w:rPr>
                    </w:pPr>
                  </w:p>
                  <w:p w14:paraId="41050C4D" w14:textId="77777777" w:rsidR="002D6806" w:rsidRDefault="002D6806" w:rsidP="002D6806">
                    <w:pPr>
                      <w:jc w:val="both"/>
                      <w:rPr>
                        <w:sz w:val="16"/>
                        <w:szCs w:val="16"/>
                        <w:lang w:val="es-ES"/>
                      </w:rPr>
                    </w:pPr>
                  </w:p>
                  <w:p w14:paraId="4AD49405" w14:textId="77777777" w:rsidR="002D6806" w:rsidRDefault="002D6806" w:rsidP="002D6806">
                    <w:pPr>
                      <w:jc w:val="both"/>
                      <w:rPr>
                        <w:sz w:val="16"/>
                        <w:szCs w:val="16"/>
                        <w:lang w:val="es-ES"/>
                      </w:rPr>
                    </w:pPr>
                  </w:p>
                  <w:p w14:paraId="146B6B83" w14:textId="77777777" w:rsidR="002D6806" w:rsidRDefault="002D6806" w:rsidP="002D6806">
                    <w:pPr>
                      <w:jc w:val="both"/>
                      <w:rPr>
                        <w:sz w:val="16"/>
                        <w:szCs w:val="16"/>
                        <w:lang w:val="es-ES"/>
                      </w:rPr>
                    </w:pPr>
                  </w:p>
                  <w:p w14:paraId="71099C15" w14:textId="77777777" w:rsidR="002D6806" w:rsidRPr="002D6806" w:rsidRDefault="002D6806" w:rsidP="002D6806">
                    <w:pPr>
                      <w:jc w:val="both"/>
                      <w:rPr>
                        <w:sz w:val="16"/>
                        <w:szCs w:val="16"/>
                        <w:lang w:val="es-ES"/>
                      </w:rPr>
                    </w:pPr>
                  </w:p>
                </w:txbxContent>
              </v:textbox>
              <w10:wrap type="square" anchorx="margin"/>
            </v:shape>
          </w:pict>
        </mc:Fallback>
      </mc:AlternateContent>
    </w:r>
    <w:r>
      <w:rPr>
        <w:noProof/>
        <w14:ligatures w14:val="none"/>
      </w:rPr>
      <w:drawing>
        <wp:anchor distT="0" distB="0" distL="114300" distR="114300" simplePos="0" relativeHeight="251655168" behindDoc="1" locked="0" layoutInCell="1" allowOverlap="1" wp14:anchorId="4DC16FD7" wp14:editId="11B80E97">
          <wp:simplePos x="0" y="0"/>
          <wp:positionH relativeFrom="margin">
            <wp:posOffset>-114300</wp:posOffset>
          </wp:positionH>
          <wp:positionV relativeFrom="paragraph">
            <wp:posOffset>-154305</wp:posOffset>
          </wp:positionV>
          <wp:extent cx="1209675" cy="421292"/>
          <wp:effectExtent l="0" t="0" r="0" b="0"/>
          <wp:wrapNone/>
          <wp:docPr id="2039461075" name="Imagen 2039461075"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98929" name="Imagen 3" descr="Un 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209675" cy="421292"/>
                  </a:xfrm>
                  <a:prstGeom prst="rect">
                    <a:avLst/>
                  </a:prstGeom>
                </pic:spPr>
              </pic:pic>
            </a:graphicData>
          </a:graphic>
          <wp14:sizeRelH relativeFrom="page">
            <wp14:pctWidth>0</wp14:pctWidth>
          </wp14:sizeRelH>
          <wp14:sizeRelV relativeFrom="page">
            <wp14:pctHeight>0</wp14:pctHeight>
          </wp14:sizeRelV>
        </wp:anchor>
      </w:drawing>
    </w:r>
    <w:r>
      <w:rPr>
        <w:noProof/>
        <w14:ligatures w14:val="none"/>
      </w:rPr>
      <w:drawing>
        <wp:anchor distT="0" distB="0" distL="114300" distR="114300" simplePos="0" relativeHeight="251656192" behindDoc="1" locked="0" layoutInCell="1" allowOverlap="1" wp14:anchorId="4DBE8589" wp14:editId="20C31A8D">
          <wp:simplePos x="0" y="0"/>
          <wp:positionH relativeFrom="margin">
            <wp:posOffset>4463415</wp:posOffset>
          </wp:positionH>
          <wp:positionV relativeFrom="paragraph">
            <wp:posOffset>-325120</wp:posOffset>
          </wp:positionV>
          <wp:extent cx="1548328" cy="871220"/>
          <wp:effectExtent l="0" t="0" r="0" b="5080"/>
          <wp:wrapNone/>
          <wp:docPr id="174542182" name="Imagen 17454218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68041" name="Imagen 4"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548328" cy="871220"/>
                  </a:xfrm>
                  <a:prstGeom prst="rect">
                    <a:avLst/>
                  </a:prstGeom>
                </pic:spPr>
              </pic:pic>
            </a:graphicData>
          </a:graphic>
          <wp14:sizeRelH relativeFrom="page">
            <wp14:pctWidth>0</wp14:pctWidth>
          </wp14:sizeRelH>
          <wp14:sizeRelV relativeFrom="page">
            <wp14:pctHeight>0</wp14:pctHeight>
          </wp14:sizeRelV>
        </wp:anchor>
      </w:drawing>
    </w:r>
    <w:sdt>
      <w:sdtPr>
        <w:id w:val="-1219588800"/>
        <w:docPartObj>
          <w:docPartGallery w:val="Watermarks"/>
          <w:docPartUnique/>
        </w:docPartObj>
      </w:sdtPr>
      <w:sdtContent>
        <w:r w:rsidR="00000000">
          <w:pict w14:anchorId="44B74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EB28CF">
      <w:rPr>
        <w:noProof/>
        <w14:ligatures w14:val="none"/>
      </w:rPr>
      <w:drawing>
        <wp:anchor distT="0" distB="0" distL="114300" distR="114300" simplePos="0" relativeHeight="251654144" behindDoc="1" locked="0" layoutInCell="1" allowOverlap="1" wp14:anchorId="5A7527A9" wp14:editId="330124BF">
          <wp:simplePos x="0" y="0"/>
          <wp:positionH relativeFrom="margin">
            <wp:posOffset>-1242060</wp:posOffset>
          </wp:positionH>
          <wp:positionV relativeFrom="paragraph">
            <wp:posOffset>-1021080</wp:posOffset>
          </wp:positionV>
          <wp:extent cx="8247380" cy="12430125"/>
          <wp:effectExtent l="0" t="0" r="0" b="0"/>
          <wp:wrapNone/>
          <wp:docPr id="139610021" name="Imagen 13961002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10823" name="Imagen 2" descr="Form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8247380" cy="12430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A793" w14:textId="4BAC1B1D" w:rsidR="007C15FE" w:rsidRDefault="00EB28CF">
    <w:pPr>
      <w:pStyle w:val="Encabezado"/>
    </w:pPr>
    <w:r>
      <w:rPr>
        <w:noProof/>
        <w14:ligatures w14:val="none"/>
      </w:rPr>
      <w:drawing>
        <wp:anchor distT="0" distB="0" distL="114300" distR="114300" simplePos="0" relativeHeight="251658240" behindDoc="1" locked="0" layoutInCell="1" allowOverlap="1" wp14:anchorId="3F3F6436" wp14:editId="1673265C">
          <wp:simplePos x="0" y="0"/>
          <wp:positionH relativeFrom="column">
            <wp:posOffset>-1384935</wp:posOffset>
          </wp:positionH>
          <wp:positionV relativeFrom="paragraph">
            <wp:posOffset>-1011555</wp:posOffset>
          </wp:positionV>
          <wp:extent cx="8391525" cy="12372975"/>
          <wp:effectExtent l="0" t="0" r="0" b="0"/>
          <wp:wrapNone/>
          <wp:docPr id="1828858636" name="Imagen 1828858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12390" name="Imagen 1979512390"/>
                  <pic:cNvPicPr/>
                </pic:nvPicPr>
                <pic:blipFill>
                  <a:blip r:embed="rId1">
                    <a:extLst>
                      <a:ext uri="{28A0092B-C50C-407E-A947-70E740481C1C}">
                        <a14:useLocalDpi xmlns:a14="http://schemas.microsoft.com/office/drawing/2010/main" val="0"/>
                      </a:ext>
                    </a:extLst>
                  </a:blip>
                  <a:stretch>
                    <a:fillRect/>
                  </a:stretch>
                </pic:blipFill>
                <pic:spPr>
                  <a:xfrm>
                    <a:off x="0" y="0"/>
                    <a:ext cx="8391525" cy="12372975"/>
                  </a:xfrm>
                  <a:prstGeom prst="rect">
                    <a:avLst/>
                  </a:prstGeom>
                </pic:spPr>
              </pic:pic>
            </a:graphicData>
          </a:graphic>
          <wp14:sizeRelH relativeFrom="page">
            <wp14:pctWidth>0</wp14:pctWidth>
          </wp14:sizeRelH>
          <wp14:sizeRelV relativeFrom="page">
            <wp14:pctHeight>0</wp14:pctHeight>
          </wp14:sizeRelV>
        </wp:anchor>
      </w:drawing>
    </w:r>
    <w:r w:rsidR="00E33359">
      <w:rPr>
        <w:noProof/>
        <w14:ligatures w14:val="none"/>
      </w:rPr>
      <w:drawing>
        <wp:anchor distT="0" distB="0" distL="114300" distR="114300" simplePos="0" relativeHeight="251659264" behindDoc="1" locked="0" layoutInCell="1" allowOverlap="1" wp14:anchorId="2882F7B3" wp14:editId="7BF1F9BF">
          <wp:simplePos x="0" y="0"/>
          <wp:positionH relativeFrom="margin">
            <wp:posOffset>-156210</wp:posOffset>
          </wp:positionH>
          <wp:positionV relativeFrom="paragraph">
            <wp:posOffset>-126365</wp:posOffset>
          </wp:positionV>
          <wp:extent cx="1209675" cy="421005"/>
          <wp:effectExtent l="0" t="0" r="9525" b="0"/>
          <wp:wrapNone/>
          <wp:docPr id="536448621" name="Imagen 53644862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98929" name="Imagen 3" descr="Un dibujo con letras&#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209675" cy="421005"/>
                  </a:xfrm>
                  <a:prstGeom prst="rect">
                    <a:avLst/>
                  </a:prstGeom>
                </pic:spPr>
              </pic:pic>
            </a:graphicData>
          </a:graphic>
          <wp14:sizeRelH relativeFrom="page">
            <wp14:pctWidth>0</wp14:pctWidth>
          </wp14:sizeRelH>
          <wp14:sizeRelV relativeFrom="page">
            <wp14:pctHeight>0</wp14:pctHeight>
          </wp14:sizeRelV>
        </wp:anchor>
      </w:drawing>
    </w:r>
    <w:r w:rsidR="00E33359">
      <w:rPr>
        <w:noProof/>
        <w14:ligatures w14:val="none"/>
      </w:rPr>
      <w:drawing>
        <wp:anchor distT="0" distB="0" distL="114300" distR="114300" simplePos="0" relativeHeight="251660288" behindDoc="1" locked="0" layoutInCell="1" allowOverlap="1" wp14:anchorId="1FC255B3" wp14:editId="19A71A65">
          <wp:simplePos x="0" y="0"/>
          <wp:positionH relativeFrom="margin">
            <wp:posOffset>4164330</wp:posOffset>
          </wp:positionH>
          <wp:positionV relativeFrom="paragraph">
            <wp:posOffset>-306705</wp:posOffset>
          </wp:positionV>
          <wp:extent cx="1548130" cy="871220"/>
          <wp:effectExtent l="0" t="0" r="0" b="5080"/>
          <wp:wrapNone/>
          <wp:docPr id="263755761" name="Imagen 26375576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68041" name="Imagen 4" descr="Logotipo, nombre de la empres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548130" cy="871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543"/>
    <w:multiLevelType w:val="multilevel"/>
    <w:tmpl w:val="0F686B4E"/>
    <w:lvl w:ilvl="0">
      <w:start w:val="1"/>
      <w:numFmt w:val="lowerLetter"/>
      <w:lvlText w:val="%1)"/>
      <w:lvlJc w:val="left"/>
      <w:pPr>
        <w:ind w:left="426" w:hanging="360"/>
      </w:pPr>
      <w:rPr>
        <w:rFonts w:ascii="Calibri" w:hAnsi="Calibri" w:cs="Calibri"/>
        <w:b w:val="0"/>
        <w:bCs w:val="0"/>
        <w:color w:val="auto"/>
        <w:w w:val="99"/>
        <w:sz w:val="26"/>
        <w:szCs w:val="26"/>
      </w:rPr>
    </w:lvl>
    <w:lvl w:ilvl="1">
      <w:numFmt w:val="bullet"/>
      <w:lvlText w:val="•"/>
      <w:lvlJc w:val="left"/>
      <w:pPr>
        <w:ind w:left="1296" w:hanging="360"/>
      </w:pPr>
    </w:lvl>
    <w:lvl w:ilvl="2">
      <w:numFmt w:val="bullet"/>
      <w:lvlText w:val="•"/>
      <w:lvlJc w:val="left"/>
      <w:pPr>
        <w:ind w:left="2167" w:hanging="360"/>
      </w:pPr>
    </w:lvl>
    <w:lvl w:ilvl="3">
      <w:numFmt w:val="bullet"/>
      <w:lvlText w:val="•"/>
      <w:lvlJc w:val="left"/>
      <w:pPr>
        <w:ind w:left="3037" w:hanging="360"/>
      </w:pPr>
    </w:lvl>
    <w:lvl w:ilvl="4">
      <w:numFmt w:val="bullet"/>
      <w:lvlText w:val="•"/>
      <w:lvlJc w:val="left"/>
      <w:pPr>
        <w:ind w:left="3908" w:hanging="360"/>
      </w:pPr>
    </w:lvl>
    <w:lvl w:ilvl="5">
      <w:numFmt w:val="bullet"/>
      <w:lvlText w:val="•"/>
      <w:lvlJc w:val="left"/>
      <w:pPr>
        <w:ind w:left="4778" w:hanging="360"/>
      </w:pPr>
    </w:lvl>
    <w:lvl w:ilvl="6">
      <w:numFmt w:val="bullet"/>
      <w:lvlText w:val="•"/>
      <w:lvlJc w:val="left"/>
      <w:pPr>
        <w:ind w:left="5649" w:hanging="360"/>
      </w:pPr>
    </w:lvl>
    <w:lvl w:ilvl="7">
      <w:numFmt w:val="bullet"/>
      <w:lvlText w:val="•"/>
      <w:lvlJc w:val="left"/>
      <w:pPr>
        <w:ind w:left="6519" w:hanging="360"/>
      </w:pPr>
    </w:lvl>
    <w:lvl w:ilvl="8">
      <w:numFmt w:val="bullet"/>
      <w:lvlText w:val="•"/>
      <w:lvlJc w:val="left"/>
      <w:pPr>
        <w:ind w:left="7389" w:hanging="360"/>
      </w:pPr>
    </w:lvl>
  </w:abstractNum>
  <w:abstractNum w:abstractNumId="1" w15:restartNumberingAfterBreak="0">
    <w:nsid w:val="023E40F8"/>
    <w:multiLevelType w:val="multilevel"/>
    <w:tmpl w:val="7DF80074"/>
    <w:lvl w:ilvl="0">
      <w:start w:val="1"/>
      <w:numFmt w:val="decimal"/>
      <w:lvlText w:val="%1."/>
      <w:lvlJc w:val="left"/>
      <w:pPr>
        <w:tabs>
          <w:tab w:val="num" w:pos="360"/>
        </w:tabs>
        <w:ind w:left="360" w:hanging="360"/>
      </w:pPr>
      <w:rPr>
        <w:rFonts w:ascii="Calibri" w:eastAsia="Calibri" w:hAnsi="Calibri" w:cs="Calibri"/>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 w15:restartNumberingAfterBreak="0">
    <w:nsid w:val="032F4F20"/>
    <w:multiLevelType w:val="hybridMultilevel"/>
    <w:tmpl w:val="DBC486E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4BF14DB"/>
    <w:multiLevelType w:val="hybridMultilevel"/>
    <w:tmpl w:val="BA0864B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54C7E88"/>
    <w:multiLevelType w:val="hybridMultilevel"/>
    <w:tmpl w:val="D7BAA4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E75A74"/>
    <w:multiLevelType w:val="hybridMultilevel"/>
    <w:tmpl w:val="C652CDA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34F1C7D"/>
    <w:multiLevelType w:val="hybridMultilevel"/>
    <w:tmpl w:val="3B3843C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B5E5107"/>
    <w:multiLevelType w:val="hybridMultilevel"/>
    <w:tmpl w:val="3726F60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42E76553"/>
    <w:multiLevelType w:val="hybridMultilevel"/>
    <w:tmpl w:val="2D06A1F6"/>
    <w:lvl w:ilvl="0" w:tplc="B4047954">
      <w:start w:val="1"/>
      <w:numFmt w:val="lowerRoman"/>
      <w:lvlText w:val="%1."/>
      <w:lvlJc w:val="left"/>
      <w:pPr>
        <w:ind w:left="1440" w:hanging="72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4D631FCF"/>
    <w:multiLevelType w:val="hybridMultilevel"/>
    <w:tmpl w:val="01627A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0A809DF"/>
    <w:multiLevelType w:val="hybridMultilevel"/>
    <w:tmpl w:val="E8BABB2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573C729C"/>
    <w:multiLevelType w:val="hybridMultilevel"/>
    <w:tmpl w:val="0E3A21B2"/>
    <w:lvl w:ilvl="0" w:tplc="56A435B6">
      <w:start w:val="6"/>
      <w:numFmt w:val="bullet"/>
      <w:lvlText w:val="-"/>
      <w:lvlJc w:val="left"/>
      <w:pPr>
        <w:ind w:left="720" w:hanging="360"/>
      </w:pPr>
      <w:rPr>
        <w:rFonts w:ascii="Calibri" w:eastAsia="Times New Roman" w:hAnsi="Calibri"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A1C2111"/>
    <w:multiLevelType w:val="hybridMultilevel"/>
    <w:tmpl w:val="942829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CB0215E"/>
    <w:multiLevelType w:val="hybridMultilevel"/>
    <w:tmpl w:val="940C2ED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C500235"/>
    <w:multiLevelType w:val="hybridMultilevel"/>
    <w:tmpl w:val="C2B07B9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77EB5453"/>
    <w:multiLevelType w:val="hybridMultilevel"/>
    <w:tmpl w:val="9132ACC0"/>
    <w:lvl w:ilvl="0" w:tplc="15E4383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65339586">
    <w:abstractNumId w:val="7"/>
  </w:num>
  <w:num w:numId="2" w16cid:durableId="1645810418">
    <w:abstractNumId w:val="9"/>
  </w:num>
  <w:num w:numId="3" w16cid:durableId="2016959358">
    <w:abstractNumId w:val="12"/>
  </w:num>
  <w:num w:numId="4" w16cid:durableId="1268150293">
    <w:abstractNumId w:val="14"/>
  </w:num>
  <w:num w:numId="5" w16cid:durableId="838424205">
    <w:abstractNumId w:val="5"/>
  </w:num>
  <w:num w:numId="6" w16cid:durableId="386417506">
    <w:abstractNumId w:val="10"/>
  </w:num>
  <w:num w:numId="7" w16cid:durableId="1382747395">
    <w:abstractNumId w:val="3"/>
  </w:num>
  <w:num w:numId="8" w16cid:durableId="1363095806">
    <w:abstractNumId w:val="6"/>
  </w:num>
  <w:num w:numId="9" w16cid:durableId="535429332">
    <w:abstractNumId w:val="15"/>
  </w:num>
  <w:num w:numId="10" w16cid:durableId="888565632">
    <w:abstractNumId w:val="11"/>
  </w:num>
  <w:num w:numId="11" w16cid:durableId="1583955192">
    <w:abstractNumId w:val="0"/>
  </w:num>
  <w:num w:numId="12" w16cid:durableId="666133948">
    <w:abstractNumId w:val="1"/>
  </w:num>
  <w:num w:numId="13" w16cid:durableId="313025911">
    <w:abstractNumId w:val="13"/>
  </w:num>
  <w:num w:numId="14" w16cid:durableId="1135676796">
    <w:abstractNumId w:val="4"/>
  </w:num>
  <w:num w:numId="15" w16cid:durableId="2117820578">
    <w:abstractNumId w:val="2"/>
  </w:num>
  <w:num w:numId="16" w16cid:durableId="188186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FE"/>
    <w:rsid w:val="00005E29"/>
    <w:rsid w:val="0001715F"/>
    <w:rsid w:val="000342D2"/>
    <w:rsid w:val="000524A1"/>
    <w:rsid w:val="00071929"/>
    <w:rsid w:val="00092160"/>
    <w:rsid w:val="0009646B"/>
    <w:rsid w:val="00097F73"/>
    <w:rsid w:val="000A61CE"/>
    <w:rsid w:val="000B5CA8"/>
    <w:rsid w:val="000C1D9C"/>
    <w:rsid w:val="000C6474"/>
    <w:rsid w:val="00114E44"/>
    <w:rsid w:val="0013748C"/>
    <w:rsid w:val="00152C76"/>
    <w:rsid w:val="00152CE8"/>
    <w:rsid w:val="00157478"/>
    <w:rsid w:val="0016138C"/>
    <w:rsid w:val="001652E8"/>
    <w:rsid w:val="0018028A"/>
    <w:rsid w:val="00187A9C"/>
    <w:rsid w:val="001A5F81"/>
    <w:rsid w:val="001C05F2"/>
    <w:rsid w:val="001E2CF3"/>
    <w:rsid w:val="001E2F6E"/>
    <w:rsid w:val="001E5A06"/>
    <w:rsid w:val="00214CEB"/>
    <w:rsid w:val="002319D8"/>
    <w:rsid w:val="002509A7"/>
    <w:rsid w:val="00267FF2"/>
    <w:rsid w:val="0027272F"/>
    <w:rsid w:val="00272C15"/>
    <w:rsid w:val="002739E9"/>
    <w:rsid w:val="002761C1"/>
    <w:rsid w:val="002A7513"/>
    <w:rsid w:val="002C012D"/>
    <w:rsid w:val="002D6806"/>
    <w:rsid w:val="002D782C"/>
    <w:rsid w:val="002E12AF"/>
    <w:rsid w:val="00301433"/>
    <w:rsid w:val="00302F02"/>
    <w:rsid w:val="00316E67"/>
    <w:rsid w:val="003425C1"/>
    <w:rsid w:val="00350580"/>
    <w:rsid w:val="00393090"/>
    <w:rsid w:val="003A7EE0"/>
    <w:rsid w:val="003B7CA8"/>
    <w:rsid w:val="003C6C72"/>
    <w:rsid w:val="003F5DC6"/>
    <w:rsid w:val="00404EA0"/>
    <w:rsid w:val="00434F87"/>
    <w:rsid w:val="00446659"/>
    <w:rsid w:val="004533E1"/>
    <w:rsid w:val="00454E0E"/>
    <w:rsid w:val="004911EC"/>
    <w:rsid w:val="0049574A"/>
    <w:rsid w:val="00497E1B"/>
    <w:rsid w:val="004A166D"/>
    <w:rsid w:val="004A7276"/>
    <w:rsid w:val="004A7483"/>
    <w:rsid w:val="004F6A78"/>
    <w:rsid w:val="00532FFE"/>
    <w:rsid w:val="00557159"/>
    <w:rsid w:val="00557CEC"/>
    <w:rsid w:val="00560A71"/>
    <w:rsid w:val="00585E51"/>
    <w:rsid w:val="0059663D"/>
    <w:rsid w:val="005C21BF"/>
    <w:rsid w:val="005C4C18"/>
    <w:rsid w:val="005C4EEA"/>
    <w:rsid w:val="005D1D7B"/>
    <w:rsid w:val="005D7D1B"/>
    <w:rsid w:val="005F05BB"/>
    <w:rsid w:val="005F2777"/>
    <w:rsid w:val="005F667E"/>
    <w:rsid w:val="00602DAC"/>
    <w:rsid w:val="0060440A"/>
    <w:rsid w:val="00641BC8"/>
    <w:rsid w:val="0064209C"/>
    <w:rsid w:val="006516B9"/>
    <w:rsid w:val="00655E31"/>
    <w:rsid w:val="00657142"/>
    <w:rsid w:val="00686E48"/>
    <w:rsid w:val="00691491"/>
    <w:rsid w:val="00694429"/>
    <w:rsid w:val="006A153E"/>
    <w:rsid w:val="006B3EC6"/>
    <w:rsid w:val="006B3F72"/>
    <w:rsid w:val="006D3565"/>
    <w:rsid w:val="006D796B"/>
    <w:rsid w:val="006F11D1"/>
    <w:rsid w:val="006F31A6"/>
    <w:rsid w:val="0070251D"/>
    <w:rsid w:val="007061ED"/>
    <w:rsid w:val="00714294"/>
    <w:rsid w:val="00755251"/>
    <w:rsid w:val="00792353"/>
    <w:rsid w:val="007A05CD"/>
    <w:rsid w:val="007B77FF"/>
    <w:rsid w:val="007C15FE"/>
    <w:rsid w:val="007F42E2"/>
    <w:rsid w:val="008054A5"/>
    <w:rsid w:val="0081434D"/>
    <w:rsid w:val="00822041"/>
    <w:rsid w:val="0082339D"/>
    <w:rsid w:val="00836310"/>
    <w:rsid w:val="00841630"/>
    <w:rsid w:val="00860F86"/>
    <w:rsid w:val="00865057"/>
    <w:rsid w:val="00865A5B"/>
    <w:rsid w:val="00887BFB"/>
    <w:rsid w:val="008A53F8"/>
    <w:rsid w:val="008C3FF5"/>
    <w:rsid w:val="008E64E3"/>
    <w:rsid w:val="008F4179"/>
    <w:rsid w:val="00922DFD"/>
    <w:rsid w:val="009315BD"/>
    <w:rsid w:val="00943BA4"/>
    <w:rsid w:val="009529B5"/>
    <w:rsid w:val="00962277"/>
    <w:rsid w:val="00981965"/>
    <w:rsid w:val="009A24C9"/>
    <w:rsid w:val="009A6201"/>
    <w:rsid w:val="009A79A0"/>
    <w:rsid w:val="009B3DF7"/>
    <w:rsid w:val="009C419F"/>
    <w:rsid w:val="009D09F9"/>
    <w:rsid w:val="009F2FAB"/>
    <w:rsid w:val="009F335D"/>
    <w:rsid w:val="00A069FC"/>
    <w:rsid w:val="00A0781D"/>
    <w:rsid w:val="00A223BB"/>
    <w:rsid w:val="00A76B4D"/>
    <w:rsid w:val="00A82729"/>
    <w:rsid w:val="00A82A71"/>
    <w:rsid w:val="00AB4E43"/>
    <w:rsid w:val="00AC0EDC"/>
    <w:rsid w:val="00AC1121"/>
    <w:rsid w:val="00AD0310"/>
    <w:rsid w:val="00AE63F4"/>
    <w:rsid w:val="00B239EA"/>
    <w:rsid w:val="00B25A43"/>
    <w:rsid w:val="00B923FD"/>
    <w:rsid w:val="00BB4A81"/>
    <w:rsid w:val="00BD2570"/>
    <w:rsid w:val="00BD2F01"/>
    <w:rsid w:val="00BE081A"/>
    <w:rsid w:val="00BE0A26"/>
    <w:rsid w:val="00BE1D79"/>
    <w:rsid w:val="00C20243"/>
    <w:rsid w:val="00C24FEF"/>
    <w:rsid w:val="00C27494"/>
    <w:rsid w:val="00C274EC"/>
    <w:rsid w:val="00C361CD"/>
    <w:rsid w:val="00C40229"/>
    <w:rsid w:val="00C44A41"/>
    <w:rsid w:val="00C474A9"/>
    <w:rsid w:val="00C5595F"/>
    <w:rsid w:val="00C677F4"/>
    <w:rsid w:val="00C7591B"/>
    <w:rsid w:val="00C81662"/>
    <w:rsid w:val="00CA1643"/>
    <w:rsid w:val="00CB3AE6"/>
    <w:rsid w:val="00CC3165"/>
    <w:rsid w:val="00CC3652"/>
    <w:rsid w:val="00CD59BB"/>
    <w:rsid w:val="00D0363A"/>
    <w:rsid w:val="00D12210"/>
    <w:rsid w:val="00D2126C"/>
    <w:rsid w:val="00D43BA8"/>
    <w:rsid w:val="00D7635B"/>
    <w:rsid w:val="00D90065"/>
    <w:rsid w:val="00D94C1D"/>
    <w:rsid w:val="00DA4F46"/>
    <w:rsid w:val="00DB1E4A"/>
    <w:rsid w:val="00DC4958"/>
    <w:rsid w:val="00DD5698"/>
    <w:rsid w:val="00DF32F4"/>
    <w:rsid w:val="00E0140A"/>
    <w:rsid w:val="00E01525"/>
    <w:rsid w:val="00E1126E"/>
    <w:rsid w:val="00E1354B"/>
    <w:rsid w:val="00E2062B"/>
    <w:rsid w:val="00E33359"/>
    <w:rsid w:val="00E339ED"/>
    <w:rsid w:val="00E4435E"/>
    <w:rsid w:val="00E7417E"/>
    <w:rsid w:val="00E94FB6"/>
    <w:rsid w:val="00EB28CF"/>
    <w:rsid w:val="00EC0597"/>
    <w:rsid w:val="00F00678"/>
    <w:rsid w:val="00F3419C"/>
    <w:rsid w:val="00F94088"/>
    <w:rsid w:val="00F941AB"/>
    <w:rsid w:val="00FA3F2C"/>
    <w:rsid w:val="00FB3FCB"/>
    <w:rsid w:val="00FC2B1E"/>
    <w:rsid w:val="00FD0180"/>
    <w:rsid w:val="00FE2739"/>
    <w:rsid w:val="00FE46B4"/>
    <w:rsid w:val="00FE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FFB7A"/>
  <w15:chartTrackingRefBased/>
  <w15:docId w15:val="{D4EFB37F-DA24-4A1A-AFEF-6F1BEF7F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FE"/>
    <w:pPr>
      <w:spacing w:line="256" w:lineRule="auto"/>
    </w:pPr>
    <w:rPr>
      <w:kern w:val="2"/>
      <w:lang w:val="es-C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C15FE"/>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C15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15FE"/>
    <w:rPr>
      <w:kern w:val="2"/>
      <w:lang w:val="es-CO"/>
      <w14:ligatures w14:val="standardContextual"/>
    </w:rPr>
  </w:style>
  <w:style w:type="paragraph" w:styleId="Piedepgina">
    <w:name w:val="footer"/>
    <w:basedOn w:val="Normal"/>
    <w:link w:val="PiedepginaCar"/>
    <w:uiPriority w:val="99"/>
    <w:unhideWhenUsed/>
    <w:rsid w:val="007C15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15FE"/>
    <w:rPr>
      <w:kern w:val="2"/>
      <w:lang w:val="es-CO"/>
      <w14:ligatures w14:val="standardContextual"/>
    </w:rPr>
  </w:style>
  <w:style w:type="paragraph" w:styleId="Textodeglobo">
    <w:name w:val="Balloon Text"/>
    <w:basedOn w:val="Normal"/>
    <w:link w:val="TextodegloboCar"/>
    <w:uiPriority w:val="99"/>
    <w:semiHidden/>
    <w:unhideWhenUsed/>
    <w:rsid w:val="00C759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591B"/>
    <w:rPr>
      <w:rFonts w:ascii="Segoe UI" w:hAnsi="Segoe UI" w:cs="Segoe UI"/>
      <w:kern w:val="2"/>
      <w:sz w:val="18"/>
      <w:szCs w:val="18"/>
      <w:lang w:val="es-CO"/>
      <w14:ligatures w14:val="standardContextual"/>
    </w:rPr>
  </w:style>
  <w:style w:type="paragraph" w:styleId="Revisin">
    <w:name w:val="Revision"/>
    <w:hidden/>
    <w:uiPriority w:val="99"/>
    <w:semiHidden/>
    <w:rsid w:val="003425C1"/>
    <w:pPr>
      <w:spacing w:after="0" w:line="240" w:lineRule="auto"/>
    </w:pPr>
    <w:rPr>
      <w:kern w:val="2"/>
      <w:lang w:val="es-CO"/>
      <w14:ligatures w14:val="standardContextual"/>
    </w:rPr>
  </w:style>
  <w:style w:type="paragraph" w:styleId="Textocomentario">
    <w:name w:val="annotation text"/>
    <w:basedOn w:val="Normal"/>
    <w:link w:val="TextocomentarioCar"/>
    <w:uiPriority w:val="99"/>
    <w:unhideWhenUsed/>
    <w:rsid w:val="00DB1E4A"/>
    <w:pPr>
      <w:spacing w:line="240" w:lineRule="auto"/>
    </w:pPr>
    <w:rPr>
      <w:sz w:val="20"/>
      <w:szCs w:val="20"/>
    </w:rPr>
  </w:style>
  <w:style w:type="character" w:customStyle="1" w:styleId="TextocomentarioCar">
    <w:name w:val="Texto comentario Car"/>
    <w:basedOn w:val="Fuentedeprrafopredeter"/>
    <w:link w:val="Textocomentario"/>
    <w:uiPriority w:val="99"/>
    <w:rsid w:val="00DB1E4A"/>
    <w:rPr>
      <w:kern w:val="2"/>
      <w:sz w:val="20"/>
      <w:szCs w:val="20"/>
      <w:lang w:val="es-CO"/>
      <w14:ligatures w14:val="standardContextual"/>
    </w:rPr>
  </w:style>
  <w:style w:type="character" w:styleId="Refdecomentario">
    <w:name w:val="annotation reference"/>
    <w:basedOn w:val="Fuentedeprrafopredeter"/>
    <w:uiPriority w:val="99"/>
    <w:semiHidden/>
    <w:unhideWhenUsed/>
    <w:rsid w:val="00DB1E4A"/>
    <w:rPr>
      <w:sz w:val="16"/>
      <w:szCs w:val="16"/>
    </w:rPr>
  </w:style>
  <w:style w:type="table" w:customStyle="1" w:styleId="Tablaconcuadrcula1">
    <w:name w:val="Tabla con cuadrícula1"/>
    <w:basedOn w:val="Tablanormal"/>
    <w:next w:val="Tablaconcuadrcula"/>
    <w:uiPriority w:val="39"/>
    <w:rsid w:val="00DB1E4A"/>
    <w:pPr>
      <w:spacing w:after="0" w:line="240" w:lineRule="auto"/>
    </w:pPr>
    <w:rPr>
      <w:rFonts w:ascii="Calibri" w:eastAsia="Calibri" w:hAnsi="Calibri" w:cs="Calibr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6D796B"/>
    <w:rPr>
      <w:b/>
      <w:bCs/>
    </w:rPr>
  </w:style>
  <w:style w:type="character" w:customStyle="1" w:styleId="AsuntodelcomentarioCar">
    <w:name w:val="Asunto del comentario Car"/>
    <w:basedOn w:val="TextocomentarioCar"/>
    <w:link w:val="Asuntodelcomentario"/>
    <w:uiPriority w:val="99"/>
    <w:semiHidden/>
    <w:rsid w:val="006D796B"/>
    <w:rPr>
      <w:b/>
      <w:bCs/>
      <w:kern w:val="2"/>
      <w:sz w:val="20"/>
      <w:szCs w:val="20"/>
      <w:lang w:val="es-CO"/>
      <w14:ligatures w14:val="standardContextual"/>
    </w:rPr>
  </w:style>
  <w:style w:type="paragraph" w:styleId="Prrafodelista">
    <w:name w:val="List Paragraph"/>
    <w:basedOn w:val="Normal"/>
    <w:uiPriority w:val="34"/>
    <w:qFormat/>
    <w:rsid w:val="0060440A"/>
    <w:pPr>
      <w:ind w:left="720"/>
      <w:contextualSpacing/>
    </w:pPr>
  </w:style>
  <w:style w:type="character" w:styleId="Hipervnculo">
    <w:name w:val="Hyperlink"/>
    <w:basedOn w:val="Fuentedeprrafopredeter"/>
    <w:uiPriority w:val="99"/>
    <w:unhideWhenUsed/>
    <w:rsid w:val="0060440A"/>
    <w:rPr>
      <w:color w:val="0563C1" w:themeColor="hyperlink"/>
      <w:u w:val="single"/>
    </w:rPr>
  </w:style>
  <w:style w:type="character" w:styleId="Mencinsinresolver">
    <w:name w:val="Unresolved Mention"/>
    <w:basedOn w:val="Fuentedeprrafopredeter"/>
    <w:uiPriority w:val="99"/>
    <w:semiHidden/>
    <w:unhideWhenUsed/>
    <w:rsid w:val="00604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4D39D-167B-4A0E-A0BA-8B3E76CF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6699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 Elvira Barreto Sarmiento</cp:lastModifiedBy>
  <cp:revision>2</cp:revision>
  <cp:lastPrinted>2023-08-28T20:52:00Z</cp:lastPrinted>
  <dcterms:created xsi:type="dcterms:W3CDTF">2024-02-06T21:59:00Z</dcterms:created>
  <dcterms:modified xsi:type="dcterms:W3CDTF">2024-02-06T21:59:00Z</dcterms:modified>
</cp:coreProperties>
</file>