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8441" w14:textId="29F98CC3" w:rsidR="00975667" w:rsidRPr="00462FE6" w:rsidRDefault="00975667" w:rsidP="00050C39">
      <w:pPr>
        <w:jc w:val="center"/>
        <w:rPr>
          <w:rFonts w:ascii="Verdana" w:hAnsi="Verdana"/>
          <w:b/>
          <w:bCs/>
          <w:lang w:eastAsia="es-CO"/>
        </w:rPr>
      </w:pPr>
      <w:r w:rsidRPr="00462FE6">
        <w:rPr>
          <w:rFonts w:ascii="Verdana" w:hAnsi="Verdana"/>
          <w:b/>
          <w:bCs/>
          <w:kern w:val="36"/>
          <w:lang w:eastAsia="es-CO"/>
        </w:rPr>
        <w:t>PROGRAMA DE VIGILANCIA EPIDEMIOLÓGICA</w:t>
      </w:r>
      <w:r w:rsidR="006A23CA" w:rsidRPr="00462FE6">
        <w:rPr>
          <w:rFonts w:ascii="Verdana" w:hAnsi="Verdana"/>
          <w:b/>
          <w:bCs/>
          <w:kern w:val="36"/>
          <w:lang w:eastAsia="es-CO"/>
        </w:rPr>
        <w:t xml:space="preserve"> </w:t>
      </w:r>
      <w:r w:rsidRPr="00462FE6">
        <w:rPr>
          <w:rFonts w:ascii="Verdana" w:hAnsi="Verdana"/>
          <w:b/>
          <w:bCs/>
          <w:lang w:eastAsia="es-CO"/>
        </w:rPr>
        <w:t>PARA LA PREVENCIÓN DE DESÓRDENES MÚSCULO ESQUELÉTICOS (DME) DERIVADOS DE LA EXPOSICIÓN A FACTORES DE RIESGO BIOMECÁNICO CONTADURÍA GENERAL DE LA NACIÓN – CGN</w:t>
      </w:r>
    </w:p>
    <w:p w14:paraId="676DFAED" w14:textId="77777777" w:rsidR="006A23CA" w:rsidRDefault="006A23CA" w:rsidP="00050C39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176A7121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566FB79E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467E3594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3C2B87F4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6BA6C15A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161A07DA" w14:textId="77777777" w:rsidR="006A23CA" w:rsidRPr="00044415" w:rsidRDefault="006A23CA" w:rsidP="006A23CA">
      <w:pPr>
        <w:jc w:val="center"/>
        <w:rPr>
          <w:rFonts w:ascii="Verdana" w:hAnsi="Verdana"/>
          <w:b/>
          <w:szCs w:val="22"/>
        </w:rPr>
      </w:pPr>
      <w:r w:rsidRPr="00044415">
        <w:rPr>
          <w:rFonts w:ascii="Verdana" w:hAnsi="Verdana"/>
          <w:b/>
          <w:sz w:val="22"/>
          <w:szCs w:val="22"/>
        </w:rPr>
        <w:t>CONTADURÍA GENERAL DE LA NACIÓN – CGN</w:t>
      </w:r>
    </w:p>
    <w:p w14:paraId="03955ED3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1E887B7F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2C2E3D2A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1F07E4B0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322A9603" w14:textId="77777777" w:rsidR="006A23CA" w:rsidRPr="00044415" w:rsidRDefault="006A23CA" w:rsidP="006A23CA">
      <w:pPr>
        <w:jc w:val="center"/>
        <w:rPr>
          <w:rFonts w:ascii="Verdana" w:hAnsi="Verdana"/>
          <w:b/>
          <w:szCs w:val="22"/>
        </w:rPr>
      </w:pPr>
      <w:r w:rsidRPr="00044415">
        <w:rPr>
          <w:rFonts w:ascii="Verdana" w:hAnsi="Verdana"/>
          <w:b/>
          <w:szCs w:val="22"/>
        </w:rPr>
        <w:t>BOGOTÁ, SEPTIEMBRE 2026</w:t>
      </w:r>
    </w:p>
    <w:p w14:paraId="13334D56" w14:textId="77777777" w:rsidR="006A23CA" w:rsidRDefault="006A23CA" w:rsidP="006A23CA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44B9F60B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605B72E1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1F9B16A5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412D6ACD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3A07A3CE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48A5C666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p w14:paraId="475A036B" w14:textId="77777777" w:rsidR="006A23CA" w:rsidRDefault="006A23CA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</w:pPr>
    </w:p>
    <w:sdt>
      <w:sdtPr>
        <w:rPr>
          <w:rFonts w:ascii="Verdana" w:eastAsiaTheme="minorHAnsi" w:hAnsi="Verdana" w:cstheme="minorBidi"/>
          <w:color w:val="auto"/>
          <w:kern w:val="2"/>
          <w:sz w:val="24"/>
          <w:szCs w:val="24"/>
          <w:lang w:val="es-ES" w:eastAsia="en-US"/>
          <w14:ligatures w14:val="standardContextual"/>
        </w:rPr>
        <w:id w:val="-3538948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8A5C6F7" w14:textId="0675EF8F" w:rsidR="00462FE6" w:rsidRPr="00A46BD3" w:rsidRDefault="00462FE6">
          <w:pPr>
            <w:pStyle w:val="TtuloTDC"/>
            <w:rPr>
              <w:rFonts w:ascii="Verdana" w:hAnsi="Verdana"/>
            </w:rPr>
          </w:pPr>
          <w:r w:rsidRPr="00A46BD3">
            <w:rPr>
              <w:rFonts w:ascii="Verdana" w:hAnsi="Verdana"/>
              <w:lang w:val="es-ES"/>
            </w:rPr>
            <w:t>Contenido</w:t>
          </w:r>
        </w:p>
        <w:p w14:paraId="5A78BC6B" w14:textId="1CADE06A" w:rsidR="003C3A1A" w:rsidRDefault="00462FE6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r w:rsidRPr="00A46BD3">
            <w:rPr>
              <w:rFonts w:ascii="Verdana" w:hAnsi="Verdana"/>
            </w:rPr>
            <w:fldChar w:fldCharType="begin"/>
          </w:r>
          <w:r w:rsidRPr="00A46BD3">
            <w:rPr>
              <w:rFonts w:ascii="Verdana" w:hAnsi="Verdana"/>
            </w:rPr>
            <w:instrText xml:space="preserve"> TOC \o "1-3" \h \z \u </w:instrText>
          </w:r>
          <w:r w:rsidRPr="00A46BD3">
            <w:rPr>
              <w:rFonts w:ascii="Verdana" w:hAnsi="Verdana"/>
            </w:rPr>
            <w:fldChar w:fldCharType="separate"/>
          </w:r>
          <w:hyperlink w:anchor="_Toc240028453" w:history="1">
            <w:r w:rsidR="003C3A1A" w:rsidRPr="007A0561">
              <w:rPr>
                <w:rStyle w:val="Hipervnculo"/>
                <w:rFonts w:ascii="Verdana" w:eastAsia="Times New Roman" w:hAnsi="Verdana"/>
                <w:b/>
                <w:bCs/>
                <w:noProof/>
                <w:lang w:eastAsia="es-CO"/>
              </w:rPr>
              <w:t>1. Vigencia</w:t>
            </w:r>
            <w:r w:rsidR="003C3A1A">
              <w:rPr>
                <w:noProof/>
                <w:webHidden/>
              </w:rPr>
              <w:tab/>
            </w:r>
            <w:r w:rsidR="003C3A1A">
              <w:rPr>
                <w:noProof/>
                <w:webHidden/>
              </w:rPr>
              <w:fldChar w:fldCharType="begin"/>
            </w:r>
            <w:r w:rsidR="003C3A1A">
              <w:rPr>
                <w:noProof/>
                <w:webHidden/>
              </w:rPr>
              <w:instrText xml:space="preserve"> PAGEREF _Toc240028453 \h </w:instrText>
            </w:r>
            <w:r w:rsidR="003C3A1A">
              <w:rPr>
                <w:noProof/>
                <w:webHidden/>
              </w:rPr>
            </w:r>
            <w:r w:rsidR="003C3A1A">
              <w:rPr>
                <w:noProof/>
                <w:webHidden/>
              </w:rPr>
              <w:fldChar w:fldCharType="separate"/>
            </w:r>
            <w:r w:rsidR="003C3A1A">
              <w:rPr>
                <w:noProof/>
                <w:webHidden/>
              </w:rPr>
              <w:t>3</w:t>
            </w:r>
            <w:r w:rsidR="003C3A1A">
              <w:rPr>
                <w:noProof/>
                <w:webHidden/>
              </w:rPr>
              <w:fldChar w:fldCharType="end"/>
            </w:r>
          </w:hyperlink>
        </w:p>
        <w:p w14:paraId="64E13A8C" w14:textId="365DED4C" w:rsidR="003C3A1A" w:rsidRDefault="003C3A1A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4" w:history="1">
            <w:r w:rsidRPr="007A0561">
              <w:rPr>
                <w:rStyle w:val="Hipervnculo"/>
                <w:rFonts w:ascii="Verdana" w:eastAsia="Times New Roman" w:hAnsi="Verdana"/>
                <w:b/>
                <w:bCs/>
                <w:noProof/>
                <w:lang w:eastAsia="es-CO"/>
              </w:rPr>
              <w:t>2. Lineamiento y 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8FF95B" w14:textId="64428783" w:rsidR="003C3A1A" w:rsidRDefault="003C3A1A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5" w:history="1">
            <w:r w:rsidRPr="007A0561">
              <w:rPr>
                <w:rStyle w:val="Hipervnculo"/>
                <w:rFonts w:ascii="Verdana" w:eastAsia="Times New Roman" w:hAnsi="Verdana"/>
                <w:b/>
                <w:bCs/>
                <w:noProof/>
                <w:lang w:eastAsia="es-CO"/>
              </w:rPr>
              <w:t>3. Marco normativo y técnico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DF27F" w14:textId="58CAC7D8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6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4. Línea base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CD531" w14:textId="1924BAC6" w:rsidR="003C3A1A" w:rsidRDefault="003C3A1A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7" w:history="1">
            <w:r w:rsidRPr="007A0561">
              <w:rPr>
                <w:rStyle w:val="Hipervnculo"/>
                <w:rFonts w:ascii="Verdana" w:eastAsia="Times New Roman" w:hAnsi="Verdana"/>
                <w:b/>
                <w:bCs/>
                <w:noProof/>
                <w:lang w:eastAsia="es-CO"/>
              </w:rPr>
              <w:t>5. 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B9795" w14:textId="68270D65" w:rsidR="003C3A1A" w:rsidRDefault="003C3A1A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8" w:history="1">
            <w:r w:rsidRPr="007A0561">
              <w:rPr>
                <w:rStyle w:val="Hipervnculo"/>
                <w:rFonts w:ascii="Verdana" w:eastAsia="Times New Roman" w:hAnsi="Verdana"/>
                <w:b/>
                <w:bCs/>
                <w:noProof/>
                <w:lang w:eastAsia="es-CO"/>
              </w:rPr>
              <w:t>6. 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326B7" w14:textId="6D1ACFDD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59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7. Metas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1106C" w14:textId="38AFC01B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0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8. Factores de riesgo y protectores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7FE62F" w14:textId="75A87B9A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1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9. Actividades del Programa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E88F2" w14:textId="5A77038C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2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10. Indicadores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866BB" w14:textId="21F5F123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3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11. Responsables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1A0454" w14:textId="26782D61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4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12. Presupuesto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24CFAC" w14:textId="03CDAE03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5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13. Documentos Relacionados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FEC6D" w14:textId="0B7DECF8" w:rsidR="003C3A1A" w:rsidRDefault="003C3A1A">
          <w:pPr>
            <w:pStyle w:val="TDC2"/>
            <w:tabs>
              <w:tab w:val="left" w:pos="72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6" w:history="1">
            <w:r w:rsidRPr="007A0561">
              <w:rPr>
                <w:rStyle w:val="Hipervnculo"/>
                <w:rFonts w:ascii="Symbol" w:eastAsia="Times New Roman" w:hAnsi="Symbol" w:cstheme="majorBidi"/>
                <w:bCs/>
                <w:noProof/>
                <w:lang w:eastAsia="es-CO"/>
              </w:rPr>
              <w:t>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7A0561">
              <w:rPr>
                <w:rStyle w:val="Hipervnculo"/>
                <w:rFonts w:ascii="Verdana" w:hAnsi="Verdana"/>
                <w:noProof/>
              </w:rPr>
              <w:t>GTH19-GUI01 GUIA REALIZACIÓN DE LAS EVALUACIONES MÉDICAS OCUPACIONALES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DDDA6" w14:textId="773BE446" w:rsidR="003C3A1A" w:rsidRDefault="003C3A1A">
          <w:pPr>
            <w:pStyle w:val="TDC2"/>
            <w:tabs>
              <w:tab w:val="left" w:pos="72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7" w:history="1">
            <w:r w:rsidRPr="007A0561">
              <w:rPr>
                <w:rStyle w:val="Hipervnculo"/>
                <w:rFonts w:ascii="Symbol" w:eastAsia="Times New Roman" w:hAnsi="Symbol" w:cstheme="majorBidi"/>
                <w:bCs/>
                <w:noProof/>
                <w:lang w:eastAsia="es-CO"/>
              </w:rPr>
              <w:t>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7A0561">
              <w:rPr>
                <w:rStyle w:val="Hipervnculo"/>
                <w:rFonts w:ascii="Verdana" w:hAnsi="Verdana"/>
                <w:noProof/>
              </w:rPr>
              <w:t>Política de Seguridad y Salud en el Trabajo.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D1127" w14:textId="5E062315" w:rsidR="003C3A1A" w:rsidRDefault="003C3A1A">
          <w:pPr>
            <w:pStyle w:val="TDC2"/>
            <w:tabs>
              <w:tab w:val="left" w:pos="720"/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8" w:history="1">
            <w:r w:rsidRPr="007A0561">
              <w:rPr>
                <w:rStyle w:val="Hipervnculo"/>
                <w:rFonts w:ascii="Symbol" w:eastAsia="Times New Roman" w:hAnsi="Symbol" w:cstheme="majorBidi"/>
                <w:noProof/>
                <w:lang w:eastAsia="es-CO"/>
              </w:rPr>
              <w:t></w:t>
            </w:r>
            <w:r>
              <w:rPr>
                <w:rFonts w:eastAsiaTheme="minorEastAsia"/>
                <w:noProof/>
                <w:lang w:eastAsia="es-CO"/>
              </w:rPr>
              <w:tab/>
            </w:r>
            <w:r w:rsidRPr="007A0561">
              <w:rPr>
                <w:rStyle w:val="Hipervnculo"/>
                <w:rFonts w:ascii="Verdana" w:eastAsia="Times New Roman" w:hAnsi="Verdana" w:cstheme="majorBidi"/>
                <w:noProof/>
                <w:lang w:eastAsia="es-CO"/>
              </w:rPr>
              <w:t>Matriz de identificación de peligros y valoración de riesgos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7FBEF" w14:textId="4B3F5F6C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69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14. Documentos 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68AF7B" w14:textId="0620C0B0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70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15. Cronograma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0C93E" w14:textId="7FCB9B61" w:rsidR="003C3A1A" w:rsidRDefault="003C3A1A">
          <w:pPr>
            <w:pStyle w:val="TDC2"/>
            <w:tabs>
              <w:tab w:val="right" w:leader="dot" w:pos="8828"/>
            </w:tabs>
            <w:rPr>
              <w:rFonts w:eastAsiaTheme="minorEastAsia"/>
              <w:noProof/>
              <w:lang w:eastAsia="es-CO"/>
            </w:rPr>
          </w:pPr>
          <w:hyperlink w:anchor="_Toc240028471" w:history="1">
            <w:r w:rsidRPr="007A0561">
              <w:rPr>
                <w:rStyle w:val="Hipervnculo"/>
                <w:rFonts w:ascii="Verdana" w:eastAsia="Times New Roman" w:hAnsi="Verdana" w:cstheme="majorBidi"/>
                <w:b/>
                <w:bCs/>
                <w:noProof/>
                <w:lang w:eastAsia="es-CO"/>
              </w:rPr>
              <w:t>16. Evaluación y mejora continua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_Toc240028471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CEDA42" w14:textId="3CD514E8" w:rsidR="00462FE6" w:rsidRPr="00A46BD3" w:rsidRDefault="00462FE6">
          <w:pPr>
            <w:rPr>
              <w:rFonts w:ascii="Verdana" w:hAnsi="Verdana"/>
            </w:rPr>
          </w:pPr>
          <w:r w:rsidRPr="00A46BD3">
            <w:rPr>
              <w:rFonts w:ascii="Verdana" w:hAnsi="Verdana"/>
              <w:b/>
              <w:bCs/>
              <w:lang w:val="es-ES"/>
            </w:rPr>
            <w:fldChar w:fldCharType="end"/>
          </w:r>
        </w:p>
      </w:sdtContent>
    </w:sdt>
    <w:p w14:paraId="73945E1E" w14:textId="77777777" w:rsidR="006A23CA" w:rsidRDefault="006A23CA" w:rsidP="006A23CA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</w:p>
    <w:p w14:paraId="671F907C" w14:textId="77777777" w:rsidR="005274D3" w:rsidRDefault="005274D3" w:rsidP="005274D3">
      <w:pPr>
        <w:rPr>
          <w:lang w:eastAsia="es-CO"/>
        </w:rPr>
      </w:pPr>
    </w:p>
    <w:p w14:paraId="56B508BD" w14:textId="77777777" w:rsidR="005274D3" w:rsidRDefault="005274D3" w:rsidP="005274D3">
      <w:pPr>
        <w:rPr>
          <w:lang w:eastAsia="es-CO"/>
        </w:rPr>
      </w:pPr>
    </w:p>
    <w:p w14:paraId="77D078DE" w14:textId="325162C6" w:rsidR="00975667" w:rsidRPr="006A23CA" w:rsidRDefault="00975667" w:rsidP="006A23CA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  <w:bookmarkStart w:id="0" w:name="_Toc240028453"/>
      <w:r w:rsidRPr="006A23CA">
        <w:rPr>
          <w:rFonts w:ascii="Verdana" w:eastAsia="Times New Roman" w:hAnsi="Verdana"/>
          <w:b/>
          <w:bCs/>
          <w:sz w:val="22"/>
          <w:szCs w:val="22"/>
          <w:lang w:eastAsia="es-CO"/>
        </w:rPr>
        <w:lastRenderedPageBreak/>
        <w:t>1. Vigencia</w:t>
      </w:r>
      <w:bookmarkEnd w:id="0"/>
    </w:p>
    <w:p w14:paraId="13B9D2E3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El presente Programa tendrá vigencia anual para su implementación y seguimiento, y podrá ser actualizado de acuerdo con los resultados de la vigilancia epidemiológica, las condiciones de salud de la población trabajadora y los cambios normativos aplicables.</w:t>
      </w:r>
    </w:p>
    <w:p w14:paraId="5ADC1A37" w14:textId="77777777" w:rsidR="00975667" w:rsidRPr="006A23CA" w:rsidRDefault="00975667" w:rsidP="006A23CA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  <w:bookmarkStart w:id="1" w:name="_Toc240028454"/>
      <w:r w:rsidRPr="006A23CA">
        <w:rPr>
          <w:rFonts w:ascii="Verdana" w:eastAsia="Times New Roman" w:hAnsi="Verdana"/>
          <w:b/>
          <w:bCs/>
          <w:sz w:val="22"/>
          <w:szCs w:val="22"/>
          <w:lang w:eastAsia="es-CO"/>
        </w:rPr>
        <w:t>2. Lineamiento y alcance</w:t>
      </w:r>
      <w:bookmarkEnd w:id="1"/>
    </w:p>
    <w:p w14:paraId="48E6A252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El Programa tiene como propósito identificar, valorar, intervenir y realizar seguimiento a los factores de riesgo biomecánico presentes en los servidores públicos de la CGN, mediante acciones de promoción de la salud, prevención de la enfermedad, educación, intervención individual y seguimiento.</w:t>
      </w:r>
    </w:p>
    <w:p w14:paraId="52EE04AC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Está dirigido a todos los servidores públicos de la entidad, con énfasis en quienes presenten exposición a carga física, posturas prolongadas, movimientos repetitivos o condiciones ergonómicas deficientes, de acuerdo con la información obtenida en las evaluaciones médicas ocupacionales y demás fuentes disponibles dentro del SG-SST.</w:t>
      </w:r>
    </w:p>
    <w:p w14:paraId="10360F02" w14:textId="77777777" w:rsidR="00975667" w:rsidRPr="006A23CA" w:rsidRDefault="00975667" w:rsidP="006A23CA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  <w:bookmarkStart w:id="2" w:name="_Toc240028455"/>
      <w:r w:rsidRPr="006A23CA">
        <w:rPr>
          <w:rFonts w:ascii="Verdana" w:eastAsia="Times New Roman" w:hAnsi="Verdana"/>
          <w:b/>
          <w:bCs/>
          <w:sz w:val="22"/>
          <w:szCs w:val="22"/>
          <w:lang w:eastAsia="es-CO"/>
        </w:rPr>
        <w:t>3. Marco normativo y técnico</w:t>
      </w:r>
      <w:bookmarkEnd w:id="2"/>
    </w:p>
    <w:p w14:paraId="04EA6F03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El Programa se diseña en cumplimiento de la normativa vigente en Colombia:</w:t>
      </w:r>
    </w:p>
    <w:p w14:paraId="30B16ACE" w14:textId="6D97A942" w:rsidR="00975667" w:rsidRPr="006A23CA" w:rsidRDefault="00975667" w:rsidP="006A23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hyperlink r:id="rId8" w:history="1">
        <w:r w:rsidRPr="005274D3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>Decreto 1072 de 2015</w:t>
        </w:r>
        <w:r w:rsidRPr="005274D3">
          <w:rPr>
            <w:rStyle w:val="Hipervnculo"/>
            <w:rFonts w:ascii="Verdana" w:eastAsia="Times New Roman" w:hAnsi="Verdana" w:cs="Times New Roman"/>
            <w:kern w:val="0"/>
            <w:sz w:val="22"/>
            <w:szCs w:val="22"/>
            <w:lang w:eastAsia="es-CO"/>
            <w14:ligatures w14:val="none"/>
          </w:rPr>
          <w:t>:</w:t>
        </w:r>
      </w:hyperlink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 Obligatoriedad de implementar el SG-SST y programas de vigilancia epidemiológica.</w:t>
      </w:r>
    </w:p>
    <w:p w14:paraId="215B3AD4" w14:textId="0C25F45A" w:rsidR="00975667" w:rsidRDefault="00975667" w:rsidP="006A23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hyperlink r:id="rId9" w:history="1">
        <w:r w:rsidRPr="000202B5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>Decreto 1477 de 2014</w:t>
        </w:r>
      </w:hyperlink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: Tabla de Enfermedades Laborales, incluye patologías musculoesqueléticas asociadas a factores biomecánicos.</w:t>
      </w:r>
    </w:p>
    <w:bookmarkStart w:id="3" w:name="_Hlk240015972"/>
    <w:p w14:paraId="54A7C04D" w14:textId="77777777" w:rsidR="002258B5" w:rsidRDefault="002258B5" w:rsidP="002258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>
        <w:fldChar w:fldCharType="begin"/>
      </w:r>
      <w:r>
        <w:instrText>HYPERLINK "https://www.funcionpublica.gov.co/eva/gestornormativo/norma.php?i=48365"</w:instrText>
      </w:r>
      <w:r>
        <w:fldChar w:fldCharType="separate"/>
      </w:r>
      <w:r w:rsidRPr="00CD664D">
        <w:rPr>
          <w:rStyle w:val="Hipervnculo"/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Ley 1562 de 2012</w:t>
      </w:r>
      <w:r>
        <w:fldChar w:fldCharType="end"/>
      </w: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: Sistema General de Riesgos Laborales.</w:t>
      </w:r>
    </w:p>
    <w:bookmarkEnd w:id="3"/>
    <w:p w14:paraId="43EC9043" w14:textId="0DFF1408" w:rsidR="00975667" w:rsidRDefault="00975667" w:rsidP="006A23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>
        <w:fldChar w:fldCharType="begin"/>
      </w:r>
      <w:r>
        <w:instrText>HYPERLINK "https://www.alcaldiabogota.gov.co/sisjur/normas/Norma1.jsp?i=94506"</w:instrText>
      </w:r>
      <w:r>
        <w:fldChar w:fldCharType="separate"/>
      </w:r>
      <w:r w:rsidRPr="000202B5">
        <w:rPr>
          <w:rStyle w:val="Hipervnculo"/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Resolución 2844 de 2007</w:t>
      </w:r>
      <w:r>
        <w:fldChar w:fldCharType="end"/>
      </w: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 (actualizada en 2015): Guías de Atención Integral en SST basadas en evidencia.</w:t>
      </w:r>
    </w:p>
    <w:p w14:paraId="43267396" w14:textId="77777777" w:rsidR="000202B5" w:rsidRPr="006A23CA" w:rsidRDefault="000202B5" w:rsidP="000202B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hyperlink r:id="rId10" w:history="1">
        <w:r w:rsidRPr="00CD664D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>Resolución 0312 de 2019</w:t>
        </w:r>
      </w:hyperlink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: Estándares mínimos del SG-SST.</w:t>
      </w:r>
    </w:p>
    <w:p w14:paraId="65672B7C" w14:textId="12E20BC5" w:rsidR="00975667" w:rsidRPr="006A23CA" w:rsidRDefault="00975667" w:rsidP="006A23C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hyperlink r:id="rId11" w:history="1">
        <w:r w:rsidRPr="002258B5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 xml:space="preserve">Resolución </w:t>
        </w:r>
        <w:r w:rsidR="002258B5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>1843</w:t>
        </w:r>
        <w:r w:rsidRPr="002258B5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 xml:space="preserve"> de 20</w:t>
        </w:r>
        <w:r w:rsidR="002258B5">
          <w:rPr>
            <w:rStyle w:val="Hipervnculo"/>
            <w:rFonts w:ascii="Verdana" w:eastAsia="Times New Roman" w:hAnsi="Verdana" w:cs="Times New Roman"/>
            <w:b/>
            <w:bCs/>
            <w:kern w:val="0"/>
            <w:sz w:val="22"/>
            <w:szCs w:val="22"/>
            <w:lang w:eastAsia="es-CO"/>
            <w14:ligatures w14:val="none"/>
          </w:rPr>
          <w:t>25</w:t>
        </w:r>
      </w:hyperlink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: Regulación de evaluaciones médicas ocupacionales.</w:t>
      </w:r>
    </w:p>
    <w:p w14:paraId="1D4AD8FB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4" w:name="_Toc240028456"/>
      <w:r w:rsidRPr="005274D3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4</w:t>
      </w:r>
      <w:r w:rsidRPr="006A23CA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. Línea base</w:t>
      </w:r>
      <w:bookmarkEnd w:id="4"/>
    </w:p>
    <w:p w14:paraId="5B72D373" w14:textId="52E8B0E4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La línea base se establece a partir de los resultados de las evaluaciones médicas ocupacionales periódicas y la aplicación de la </w:t>
      </w:r>
      <w:r w:rsidRPr="006A23CA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Encuesta SIN-DME</w:t>
      </w:r>
      <w:r w:rsidR="005874FE" w:rsidRPr="005874FE">
        <w:t xml:space="preserve"> </w:t>
      </w:r>
      <w:r w:rsidR="005874FE" w:rsidRPr="005874F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 xml:space="preserve">(Síntomas </w:t>
      </w:r>
      <w:r w:rsidR="005874FE" w:rsidRPr="005874F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lastRenderedPageBreak/>
        <w:t xml:space="preserve">de Inconfort asociados a Desórdenes </w:t>
      </w:r>
      <w:proofErr w:type="gramStart"/>
      <w:r w:rsidR="005874FE" w:rsidRPr="005874F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Músculo-Esqueléticos</w:t>
      </w:r>
      <w:proofErr w:type="gramEnd"/>
      <w:r w:rsidR="005874FE" w:rsidRPr="005874FE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)</w:t>
      </w:r>
      <w:r w:rsidR="005874FE">
        <w:rPr>
          <w:rStyle w:val="Refdenotaalpie"/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footnoteReference w:id="1"/>
      </w: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, así como inspecciones ergonómicas de puestos de trabajo.</w:t>
      </w:r>
    </w:p>
    <w:p w14:paraId="42F9085C" w14:textId="77777777" w:rsidR="00975667" w:rsidRPr="00462FE6" w:rsidRDefault="00975667" w:rsidP="00462FE6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  <w:bookmarkStart w:id="5" w:name="_Toc240028457"/>
      <w:r w:rsidRPr="00462FE6">
        <w:rPr>
          <w:rFonts w:ascii="Verdana" w:eastAsia="Times New Roman" w:hAnsi="Verdana"/>
          <w:b/>
          <w:bCs/>
          <w:sz w:val="22"/>
          <w:szCs w:val="22"/>
          <w:lang w:eastAsia="es-CO"/>
        </w:rPr>
        <w:t>5. Objetivo general</w:t>
      </w:r>
      <w:bookmarkEnd w:id="5"/>
    </w:p>
    <w:p w14:paraId="66C2827F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Implementar un Programa de Vigilancia Epidemiológica orientado a la identificación, prevención, intervención y seguimiento de los factores de riesgo biomecánico que generan DME en los servidores públicos de la CGN, contribuyendo al mantenimiento y mejoramiento de sus condiciones de salud y bienestar.</w:t>
      </w:r>
    </w:p>
    <w:p w14:paraId="4F152125" w14:textId="77777777" w:rsidR="00975667" w:rsidRPr="00462FE6" w:rsidRDefault="00975667" w:rsidP="00462FE6">
      <w:pPr>
        <w:pStyle w:val="Ttulo1"/>
        <w:rPr>
          <w:rFonts w:ascii="Verdana" w:eastAsia="Times New Roman" w:hAnsi="Verdana"/>
          <w:b/>
          <w:bCs/>
          <w:sz w:val="22"/>
          <w:szCs w:val="22"/>
          <w:lang w:eastAsia="es-CO"/>
        </w:rPr>
      </w:pPr>
      <w:bookmarkStart w:id="6" w:name="_Toc240028458"/>
      <w:r w:rsidRPr="00462FE6">
        <w:rPr>
          <w:rFonts w:ascii="Verdana" w:eastAsia="Times New Roman" w:hAnsi="Verdana"/>
          <w:b/>
          <w:bCs/>
          <w:sz w:val="22"/>
          <w:szCs w:val="22"/>
          <w:lang w:eastAsia="es-CO"/>
        </w:rPr>
        <w:t>6. Objetivos específicos</w:t>
      </w:r>
      <w:bookmarkEnd w:id="6"/>
    </w:p>
    <w:p w14:paraId="78A56E91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Caracterizar la población trabajadora según exposición a factores de riesgo biomecánico.</w:t>
      </w:r>
    </w:p>
    <w:p w14:paraId="7D8FA09D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Identificar oportunamente servidores públicos con síntomas musculoesqueléticos que requieran orientación, seguimiento o remisión.</w:t>
      </w:r>
    </w:p>
    <w:p w14:paraId="0A11B5A1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Promover estilos de vida saludables relacionados con ergonomía, actividad física, pausas activas y autocuidado.</w:t>
      </w:r>
    </w:p>
    <w:p w14:paraId="64718813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Realizar seguimiento a la población priorizada, de acuerdo con el nivel de riesgo identificado.</w:t>
      </w:r>
    </w:p>
    <w:p w14:paraId="727E2FA5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Fortalecer las acciones de promoción y prevención articuladas con el SG-SST, Bienestar Social y las EPS.</w:t>
      </w:r>
    </w:p>
    <w:p w14:paraId="6DF6B89C" w14:textId="77777777" w:rsidR="00975667" w:rsidRPr="006A23CA" w:rsidRDefault="00975667" w:rsidP="006A23C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Evaluar periódicamente los resultados del Programa mediante indicadores y establecer acciones de mejora.</w:t>
      </w:r>
    </w:p>
    <w:p w14:paraId="2D1539A0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7" w:name="_Toc240028459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7. Metas</w:t>
      </w:r>
      <w:bookmarkEnd w:id="7"/>
    </w:p>
    <w:p w14:paraId="225079D5" w14:textId="77777777" w:rsidR="00975667" w:rsidRPr="006A23CA" w:rsidRDefault="00975667" w:rsidP="006A23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Alcanzar cobertura progresiva de las actividades de promoción y prevención dirigidas a la población objeto del Programa.</w:t>
      </w:r>
    </w:p>
    <w:p w14:paraId="045E9788" w14:textId="77777777" w:rsidR="00975667" w:rsidRPr="006A23CA" w:rsidRDefault="00975667" w:rsidP="006A23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Realizar seguimiento al 100 % de los casos identificados con riesgo alto (semáforo rojo).</w:t>
      </w:r>
    </w:p>
    <w:p w14:paraId="3BE7E3E5" w14:textId="77777777" w:rsidR="00975667" w:rsidRPr="006A23CA" w:rsidRDefault="00975667" w:rsidP="006A23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Promover la participación en capacitaciones y pausas activas.</w:t>
      </w:r>
    </w:p>
    <w:p w14:paraId="4A1E9777" w14:textId="77777777" w:rsidR="00975667" w:rsidRDefault="00975667" w:rsidP="006A23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Reducir la prevalencia de síntomas osteomusculares en al menos un 10 % anual.</w:t>
      </w:r>
    </w:p>
    <w:p w14:paraId="08590ADE" w14:textId="77777777" w:rsidR="004E54C7" w:rsidRDefault="004E54C7" w:rsidP="004E54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</w:p>
    <w:p w14:paraId="10BF6E31" w14:textId="77777777" w:rsidR="004E54C7" w:rsidRPr="006A23CA" w:rsidRDefault="004E54C7" w:rsidP="004E54C7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</w:p>
    <w:p w14:paraId="12A590D1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8" w:name="_Toc240028460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8. Factores de riesgo y protectores</w:t>
      </w:r>
      <w:bookmarkEnd w:id="8"/>
    </w:p>
    <w:p w14:paraId="29ABA26E" w14:textId="205138E4" w:rsidR="004A28D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Factores de riesgo:</w:t>
      </w: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 movimientos repetitivos, posturas prolongadas, levantamiento de cargas, uso de fuerza excesiva, posturas fuera de ángulos de confort, sedentarismo. </w:t>
      </w:r>
      <w:r w:rsidRPr="006A23CA"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es-CO"/>
          <w14:ligatures w14:val="none"/>
        </w:rPr>
        <w:t>Factores protectores:</w:t>
      </w: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 ergonomía adecuada, pausas activas, actividad física regular, higiene postural, uso correcto de ayudas mecánicas, autocuidado</w:t>
      </w:r>
      <w:r w:rsidR="004E54C7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.</w:t>
      </w:r>
    </w:p>
    <w:p w14:paraId="52EC792A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9" w:name="_Toc240028461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9. Actividades del Programa</w:t>
      </w:r>
      <w:bookmarkEnd w:id="9"/>
    </w:p>
    <w:tbl>
      <w:tblPr>
        <w:tblStyle w:val="Tablaconcuadrcula1clara"/>
        <w:tblW w:w="9081" w:type="dxa"/>
        <w:tblLook w:val="04A0" w:firstRow="1" w:lastRow="0" w:firstColumn="1" w:lastColumn="0" w:noHBand="0" w:noVBand="1"/>
      </w:tblPr>
      <w:tblGrid>
        <w:gridCol w:w="2130"/>
        <w:gridCol w:w="1793"/>
        <w:gridCol w:w="1815"/>
        <w:gridCol w:w="1779"/>
        <w:gridCol w:w="1564"/>
      </w:tblGrid>
      <w:tr w:rsidR="00975667" w:rsidRPr="006A23CA" w14:paraId="5BF6D674" w14:textId="77777777" w:rsidTr="004E54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F13046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Actividad</w:t>
            </w:r>
          </w:p>
        </w:tc>
        <w:tc>
          <w:tcPr>
            <w:tcW w:w="0" w:type="auto"/>
            <w:hideMark/>
          </w:tcPr>
          <w:p w14:paraId="43D5DC79" w14:textId="77777777" w:rsidR="00975667" w:rsidRPr="006A23CA" w:rsidRDefault="00975667" w:rsidP="006A23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Descripción</w:t>
            </w:r>
          </w:p>
        </w:tc>
        <w:tc>
          <w:tcPr>
            <w:tcW w:w="1965" w:type="dxa"/>
            <w:hideMark/>
          </w:tcPr>
          <w:p w14:paraId="7E77EF23" w14:textId="77777777" w:rsidR="00975667" w:rsidRPr="006A23CA" w:rsidRDefault="00975667" w:rsidP="006A23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Periodicidad</w:t>
            </w:r>
          </w:p>
        </w:tc>
        <w:tc>
          <w:tcPr>
            <w:tcW w:w="0" w:type="auto"/>
            <w:hideMark/>
          </w:tcPr>
          <w:p w14:paraId="5A1E021B" w14:textId="77777777" w:rsidR="00975667" w:rsidRPr="006A23CA" w:rsidRDefault="00975667" w:rsidP="006A23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Responsable</w:t>
            </w:r>
          </w:p>
        </w:tc>
        <w:tc>
          <w:tcPr>
            <w:tcW w:w="0" w:type="auto"/>
            <w:hideMark/>
          </w:tcPr>
          <w:p w14:paraId="4C43B155" w14:textId="77777777" w:rsidR="00975667" w:rsidRPr="006A23CA" w:rsidRDefault="00975667" w:rsidP="006A23C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Soporte</w:t>
            </w:r>
          </w:p>
        </w:tc>
      </w:tr>
      <w:tr w:rsidR="00975667" w:rsidRPr="006A23CA" w14:paraId="1533E9E1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E1268" w14:textId="77777777" w:rsidR="00975667" w:rsidRPr="006A23CA" w:rsidRDefault="00975667" w:rsidP="004A28DA">
            <w:pPr>
              <w:ind w:right="-288"/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Caracterización</w:t>
            </w:r>
          </w:p>
        </w:tc>
        <w:tc>
          <w:tcPr>
            <w:tcW w:w="0" w:type="auto"/>
            <w:hideMark/>
          </w:tcPr>
          <w:p w14:paraId="1064F9B3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Consolidar y analizar resultados de evaluaciones médicas y encuestas SIN-DME</w:t>
            </w:r>
          </w:p>
        </w:tc>
        <w:tc>
          <w:tcPr>
            <w:tcW w:w="1965" w:type="dxa"/>
            <w:hideMark/>
          </w:tcPr>
          <w:p w14:paraId="0CCBFA4F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Anual</w:t>
            </w:r>
          </w:p>
        </w:tc>
        <w:tc>
          <w:tcPr>
            <w:tcW w:w="0" w:type="auto"/>
            <w:hideMark/>
          </w:tcPr>
          <w:p w14:paraId="084E579C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SG-SST / Medicina Laboral</w:t>
            </w:r>
          </w:p>
        </w:tc>
        <w:tc>
          <w:tcPr>
            <w:tcW w:w="0" w:type="auto"/>
            <w:hideMark/>
          </w:tcPr>
          <w:p w14:paraId="4083A3E9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Informe de condiciones de salud</w:t>
            </w:r>
          </w:p>
        </w:tc>
      </w:tr>
      <w:tr w:rsidR="00975667" w:rsidRPr="006A23CA" w14:paraId="759AF30E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A0141D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Identificación y clasificación</w:t>
            </w:r>
          </w:p>
        </w:tc>
        <w:tc>
          <w:tcPr>
            <w:tcW w:w="0" w:type="auto"/>
            <w:hideMark/>
          </w:tcPr>
          <w:p w14:paraId="2F3058EE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Clasificar población según semáforo (verde, amarillo, rojo)</w:t>
            </w:r>
          </w:p>
        </w:tc>
        <w:tc>
          <w:tcPr>
            <w:tcW w:w="1965" w:type="dxa"/>
            <w:hideMark/>
          </w:tcPr>
          <w:p w14:paraId="6CD0655F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Periódica</w:t>
            </w:r>
          </w:p>
        </w:tc>
        <w:tc>
          <w:tcPr>
            <w:tcW w:w="0" w:type="auto"/>
            <w:hideMark/>
          </w:tcPr>
          <w:p w14:paraId="11CDCF39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SG-SST</w:t>
            </w:r>
          </w:p>
        </w:tc>
        <w:tc>
          <w:tcPr>
            <w:tcW w:w="0" w:type="auto"/>
            <w:hideMark/>
          </w:tcPr>
          <w:p w14:paraId="1F936BCA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Base de seguimiento</w:t>
            </w:r>
          </w:p>
        </w:tc>
      </w:tr>
      <w:tr w:rsidR="00975667" w:rsidRPr="006A23CA" w14:paraId="79AE432B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6B55A6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Educación</w:t>
            </w:r>
          </w:p>
        </w:tc>
        <w:tc>
          <w:tcPr>
            <w:tcW w:w="0" w:type="auto"/>
            <w:hideMark/>
          </w:tcPr>
          <w:p w14:paraId="34C19AFF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Jornadas sobre ergonomía, pausas activas, levantamiento de cargas, higiene postural</w:t>
            </w:r>
          </w:p>
        </w:tc>
        <w:tc>
          <w:tcPr>
            <w:tcW w:w="1965" w:type="dxa"/>
            <w:hideMark/>
          </w:tcPr>
          <w:p w14:paraId="0263EC60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Trimestral</w:t>
            </w:r>
          </w:p>
        </w:tc>
        <w:tc>
          <w:tcPr>
            <w:tcW w:w="0" w:type="auto"/>
            <w:hideMark/>
          </w:tcPr>
          <w:p w14:paraId="4E6FDA25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SG-SST / Bienestar</w:t>
            </w:r>
          </w:p>
        </w:tc>
        <w:tc>
          <w:tcPr>
            <w:tcW w:w="0" w:type="auto"/>
            <w:hideMark/>
          </w:tcPr>
          <w:p w14:paraId="34108AEC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Listados, piezas, informes</w:t>
            </w:r>
          </w:p>
        </w:tc>
      </w:tr>
      <w:tr w:rsidR="00975667" w:rsidRPr="006A23CA" w14:paraId="05F17493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53B4BE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Intervención individual</w:t>
            </w:r>
          </w:p>
        </w:tc>
        <w:tc>
          <w:tcPr>
            <w:tcW w:w="0" w:type="auto"/>
            <w:hideMark/>
          </w:tcPr>
          <w:p w14:paraId="7F49BB0E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Orientación y seguimiento según síntomas</w:t>
            </w:r>
          </w:p>
        </w:tc>
        <w:tc>
          <w:tcPr>
            <w:tcW w:w="1965" w:type="dxa"/>
            <w:hideMark/>
          </w:tcPr>
          <w:p w14:paraId="4A9A06B7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Según necesidad</w:t>
            </w:r>
          </w:p>
        </w:tc>
        <w:tc>
          <w:tcPr>
            <w:tcW w:w="0" w:type="auto"/>
            <w:hideMark/>
          </w:tcPr>
          <w:p w14:paraId="1200736C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Medicina Laboral / SG-SST</w:t>
            </w:r>
          </w:p>
        </w:tc>
        <w:tc>
          <w:tcPr>
            <w:tcW w:w="0" w:type="auto"/>
            <w:hideMark/>
          </w:tcPr>
          <w:p w14:paraId="3658C104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Registros de seguimiento</w:t>
            </w:r>
          </w:p>
        </w:tc>
      </w:tr>
      <w:tr w:rsidR="00975667" w:rsidRPr="006A23CA" w14:paraId="5CA0566B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11CEC5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Escuelas terapéuticas</w:t>
            </w:r>
          </w:p>
        </w:tc>
        <w:tc>
          <w:tcPr>
            <w:tcW w:w="0" w:type="auto"/>
            <w:hideMark/>
          </w:tcPr>
          <w:p w14:paraId="15362B38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Intervención grupal para casos semáforo amarillo y rojo</w:t>
            </w:r>
          </w:p>
        </w:tc>
        <w:tc>
          <w:tcPr>
            <w:tcW w:w="1965" w:type="dxa"/>
            <w:hideMark/>
          </w:tcPr>
          <w:p w14:paraId="5A24BA0A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Semestral</w:t>
            </w:r>
          </w:p>
        </w:tc>
        <w:tc>
          <w:tcPr>
            <w:tcW w:w="0" w:type="auto"/>
            <w:hideMark/>
          </w:tcPr>
          <w:p w14:paraId="4E020266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Fisioterapia / Terapia Ocupacional</w:t>
            </w:r>
          </w:p>
        </w:tc>
        <w:tc>
          <w:tcPr>
            <w:tcW w:w="0" w:type="auto"/>
            <w:hideMark/>
          </w:tcPr>
          <w:p w14:paraId="3E22EB0E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Informe terapéutico</w:t>
            </w:r>
          </w:p>
        </w:tc>
      </w:tr>
      <w:tr w:rsidR="00975667" w:rsidRPr="006A23CA" w14:paraId="3F09A1A8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203B03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lastRenderedPageBreak/>
              <w:t>Promoción de actividad física</w:t>
            </w:r>
          </w:p>
        </w:tc>
        <w:tc>
          <w:tcPr>
            <w:tcW w:w="0" w:type="auto"/>
            <w:hideMark/>
          </w:tcPr>
          <w:p w14:paraId="0584AA66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Actividades deportivas y recreativas</w:t>
            </w:r>
          </w:p>
        </w:tc>
        <w:tc>
          <w:tcPr>
            <w:tcW w:w="1965" w:type="dxa"/>
            <w:hideMark/>
          </w:tcPr>
          <w:p w14:paraId="4D89C965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Según cronograma Bienestar</w:t>
            </w:r>
          </w:p>
        </w:tc>
        <w:tc>
          <w:tcPr>
            <w:tcW w:w="0" w:type="auto"/>
            <w:hideMark/>
          </w:tcPr>
          <w:p w14:paraId="3A000654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Bienestar / SG-SST</w:t>
            </w:r>
          </w:p>
        </w:tc>
        <w:tc>
          <w:tcPr>
            <w:tcW w:w="0" w:type="auto"/>
            <w:hideMark/>
          </w:tcPr>
          <w:p w14:paraId="2DFF87CD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Registro de actividades</w:t>
            </w:r>
          </w:p>
        </w:tc>
      </w:tr>
      <w:tr w:rsidR="00975667" w:rsidRPr="006A23CA" w14:paraId="04243E39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8B903B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Seguimiento</w:t>
            </w:r>
          </w:p>
        </w:tc>
        <w:tc>
          <w:tcPr>
            <w:tcW w:w="0" w:type="auto"/>
            <w:hideMark/>
          </w:tcPr>
          <w:p w14:paraId="58291E58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Revisión evolución de indicadores y población priorizada</w:t>
            </w:r>
          </w:p>
        </w:tc>
        <w:tc>
          <w:tcPr>
            <w:tcW w:w="1965" w:type="dxa"/>
            <w:hideMark/>
          </w:tcPr>
          <w:p w14:paraId="3C7DFA00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Anual</w:t>
            </w:r>
          </w:p>
        </w:tc>
        <w:tc>
          <w:tcPr>
            <w:tcW w:w="0" w:type="auto"/>
            <w:hideMark/>
          </w:tcPr>
          <w:p w14:paraId="47EC9848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SG-SST</w:t>
            </w:r>
          </w:p>
        </w:tc>
        <w:tc>
          <w:tcPr>
            <w:tcW w:w="0" w:type="auto"/>
            <w:hideMark/>
          </w:tcPr>
          <w:p w14:paraId="5A9AEA88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Informe de seguimiento</w:t>
            </w:r>
          </w:p>
        </w:tc>
      </w:tr>
      <w:tr w:rsidR="00975667" w:rsidRPr="006A23CA" w14:paraId="518195D0" w14:textId="77777777" w:rsidTr="004E54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73C9E0" w14:textId="77777777" w:rsidR="00975667" w:rsidRPr="006A23CA" w:rsidRDefault="00975667" w:rsidP="006A23CA">
            <w:pPr>
              <w:jc w:val="both"/>
              <w:rPr>
                <w:rFonts w:ascii="Verdana" w:eastAsia="Times New Roman" w:hAnsi="Verdana" w:cs="Times New Roman"/>
                <w:b w:val="0"/>
                <w:bCs w:val="0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Evaluación</w:t>
            </w:r>
          </w:p>
        </w:tc>
        <w:tc>
          <w:tcPr>
            <w:tcW w:w="0" w:type="auto"/>
            <w:hideMark/>
          </w:tcPr>
          <w:p w14:paraId="5E1486EA" w14:textId="77777777" w:rsidR="00975667" w:rsidRPr="006A23CA" w:rsidRDefault="00975667" w:rsidP="008A41B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Análisis de resultados y acciones de mejora</w:t>
            </w:r>
          </w:p>
        </w:tc>
        <w:tc>
          <w:tcPr>
            <w:tcW w:w="1965" w:type="dxa"/>
            <w:hideMark/>
          </w:tcPr>
          <w:p w14:paraId="5488B89E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Anual</w:t>
            </w:r>
          </w:p>
        </w:tc>
        <w:tc>
          <w:tcPr>
            <w:tcW w:w="0" w:type="auto"/>
            <w:hideMark/>
          </w:tcPr>
          <w:p w14:paraId="1C1F57AC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Comité SST</w:t>
            </w:r>
          </w:p>
        </w:tc>
        <w:tc>
          <w:tcPr>
            <w:tcW w:w="0" w:type="auto"/>
            <w:hideMark/>
          </w:tcPr>
          <w:p w14:paraId="797325E4" w14:textId="77777777" w:rsidR="00975667" w:rsidRPr="006A23CA" w:rsidRDefault="00975667" w:rsidP="006A23C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</w:pPr>
            <w:r w:rsidRPr="006A23CA">
              <w:rPr>
                <w:rFonts w:ascii="Verdana" w:eastAsia="Times New Roman" w:hAnsi="Verdana" w:cs="Times New Roman"/>
                <w:kern w:val="0"/>
                <w:sz w:val="22"/>
                <w:szCs w:val="22"/>
                <w:lang w:eastAsia="es-CO"/>
                <w14:ligatures w14:val="none"/>
              </w:rPr>
              <w:t>Informe anual</w:t>
            </w:r>
          </w:p>
        </w:tc>
      </w:tr>
    </w:tbl>
    <w:p w14:paraId="735D1B4F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10" w:name="_Toc240028462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10. Indicadores</w:t>
      </w:r>
      <w:bookmarkEnd w:id="10"/>
    </w:p>
    <w:p w14:paraId="55EDA23B" w14:textId="77777777" w:rsidR="00975667" w:rsidRPr="006A23CA" w:rsidRDefault="00975667" w:rsidP="006A23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  <w:t xml:space="preserve">Cobertura de vigilancia: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val="pt-PT" w:eastAsia="es-CO"/>
                <w14:ligatures w14:val="none"/>
              </w:rPr>
              <m:t>°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servidoresincluidos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val="pt-PT" w:eastAsia="es-CO"/>
                <w14:ligatures w14:val="none"/>
              </w:rPr>
              <m:t>/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val="pt-PT" w:eastAsia="es-CO"/>
                <w14:ligatures w14:val="none"/>
              </w:rPr>
              <m:t>°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servidoresobjeto</m:t>
            </m:r>
          </m:e>
        </m:d>
        <m:r>
          <w:rPr>
            <w:rFonts w:ascii="Cambria Math" w:eastAsia="Times New Roman" w:hAnsi="Cambria Math" w:cs="Times New Roman"/>
            <w:kern w:val="0"/>
            <w:sz w:val="22"/>
            <w:szCs w:val="22"/>
            <w:lang w:val="pt-PT" w:eastAsia="es-CO"/>
            <w14:ligatures w14:val="none"/>
          </w:rPr>
          <m:t>×100</m:t>
        </m:r>
      </m:oMath>
      <w:r w:rsidRPr="006A23CA"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  <w:t>.</w:t>
      </w:r>
    </w:p>
    <w:p w14:paraId="18758714" w14:textId="77777777" w:rsidR="00975667" w:rsidRPr="006A23CA" w:rsidRDefault="00975667" w:rsidP="006A23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Prevalencia de síntomas osteomusculares: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N°casoscons</m:t>
            </m:r>
            <m:limUpp>
              <m:limUppPr>
                <m:ctrlP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</m:ctrlPr>
              </m:limUppPr>
              <m:e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  <m:t>ı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  <m:t>ˊ</m:t>
                </m:r>
              </m:lim>
            </m:limUpp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ntomas/poblaci</m:t>
            </m:r>
            <m:limUpp>
              <m:limUppPr>
                <m:ctrlP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</m:ctrlPr>
              </m:limUppPr>
              <m:e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  <m:t>o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  <m:t>ˊ</m:t>
                </m:r>
              </m:lim>
            </m:limUpp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nevaluada</m:t>
            </m:r>
          </m:e>
        </m:d>
        <m:r>
          <w:rPr>
            <w:rFonts w:ascii="Cambria Math" w:eastAsia="Times New Roman" w:hAnsi="Cambria Math" w:cs="Times New Roman"/>
            <w:kern w:val="0"/>
            <w:sz w:val="22"/>
            <w:szCs w:val="22"/>
            <w:lang w:eastAsia="es-CO"/>
            <w14:ligatures w14:val="none"/>
          </w:rPr>
          <m:t>×100</m:t>
        </m:r>
      </m:oMath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.</w:t>
      </w:r>
    </w:p>
    <w:p w14:paraId="6FCBD557" w14:textId="77777777" w:rsidR="00975667" w:rsidRPr="006A23CA" w:rsidRDefault="00975667" w:rsidP="006A23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Seguimiento a riesgo alto: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N°casosconseguimiento/N°casosriesgoalto</m:t>
            </m:r>
          </m:e>
        </m:d>
        <m:r>
          <w:rPr>
            <w:rFonts w:ascii="Cambria Math" w:eastAsia="Times New Roman" w:hAnsi="Cambria Math" w:cs="Times New Roman"/>
            <w:kern w:val="0"/>
            <w:sz w:val="22"/>
            <w:szCs w:val="22"/>
            <w:lang w:eastAsia="es-CO"/>
            <w14:ligatures w14:val="none"/>
          </w:rPr>
          <m:t>×100</m:t>
        </m:r>
      </m:oMath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.</w:t>
      </w:r>
    </w:p>
    <w:p w14:paraId="79C46AF4" w14:textId="77777777" w:rsidR="00975667" w:rsidRPr="006A23CA" w:rsidRDefault="00975667" w:rsidP="006A23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  <w:t xml:space="preserve">Cobertura de actividades educativas: </w:t>
      </w:r>
      <m:oMath>
        <m:d>
          <m:dPr>
            <m:ctrlP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val="pt-PT" w:eastAsia="es-CO"/>
                <w14:ligatures w14:val="none"/>
              </w:rPr>
              <m:t>°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participantes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val="pt-PT" w:eastAsia="es-CO"/>
                <w14:ligatures w14:val="none"/>
              </w:rPr>
              <m:t>/</m:t>
            </m:r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poblaci</m:t>
            </m:r>
            <m:limUpp>
              <m:limUppPr>
                <m:ctrlP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</m:ctrlPr>
              </m:limUppPr>
              <m:e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eastAsia="es-CO"/>
                    <w14:ligatures w14:val="none"/>
                  </w:rPr>
                  <m:t>o</m:t>
                </m:r>
              </m:e>
              <m:lim>
                <m:r>
                  <w:rPr>
                    <w:rFonts w:ascii="Cambria Math" w:eastAsia="Times New Roman" w:hAnsi="Cambria Math" w:cs="Times New Roman"/>
                    <w:kern w:val="0"/>
                    <w:sz w:val="22"/>
                    <w:szCs w:val="22"/>
                    <w:lang w:val="pt-PT" w:eastAsia="es-CO"/>
                    <w14:ligatures w14:val="none"/>
                  </w:rPr>
                  <m:t>ˊ</m:t>
                </m:r>
              </m:lim>
            </m:limUpp>
            <m:r>
              <w:rPr>
                <w:rFonts w:ascii="Cambria Math" w:eastAsia="Times New Roman" w:hAnsi="Cambria Math" w:cs="Times New Roman"/>
                <w:kern w:val="0"/>
                <w:sz w:val="22"/>
                <w:szCs w:val="22"/>
                <w:lang w:eastAsia="es-CO"/>
                <w14:ligatures w14:val="none"/>
              </w:rPr>
              <m:t>nobjetivo</m:t>
            </m:r>
          </m:e>
        </m:d>
        <m:r>
          <w:rPr>
            <w:rFonts w:ascii="Cambria Math" w:eastAsia="Times New Roman" w:hAnsi="Cambria Math" w:cs="Times New Roman"/>
            <w:kern w:val="0"/>
            <w:sz w:val="22"/>
            <w:szCs w:val="22"/>
            <w:lang w:val="pt-PT" w:eastAsia="es-CO"/>
            <w14:ligatures w14:val="none"/>
          </w:rPr>
          <m:t>×100</m:t>
        </m:r>
      </m:oMath>
      <w:r w:rsidRPr="006A23CA">
        <w:rPr>
          <w:rFonts w:ascii="Verdana" w:eastAsia="Times New Roman" w:hAnsi="Verdana" w:cs="Times New Roman"/>
          <w:kern w:val="0"/>
          <w:sz w:val="22"/>
          <w:szCs w:val="22"/>
          <w:lang w:val="pt-PT" w:eastAsia="es-CO"/>
          <w14:ligatures w14:val="none"/>
        </w:rPr>
        <w:t>.</w:t>
      </w:r>
    </w:p>
    <w:p w14:paraId="7F4818AF" w14:textId="77777777" w:rsidR="00975667" w:rsidRPr="006A23CA" w:rsidRDefault="00975667" w:rsidP="006A23C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Reducción de prevalencia de DME: comparación anual.</w:t>
      </w:r>
    </w:p>
    <w:p w14:paraId="0BE7F022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11" w:name="_Toc240028463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11. Responsables</w:t>
      </w:r>
      <w:bookmarkEnd w:id="11"/>
    </w:p>
    <w:p w14:paraId="5BF3F3E2" w14:textId="77777777" w:rsidR="00975667" w:rsidRPr="006A23CA" w:rsidRDefault="00975667" w:rsidP="006A23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Grupo Interno de Trabajo de Talento Humano y Prestaciones Sociales – coordinación y seguimiento.</w:t>
      </w:r>
    </w:p>
    <w:p w14:paraId="38E01366" w14:textId="77777777" w:rsidR="00975667" w:rsidRPr="006A23CA" w:rsidRDefault="00975667" w:rsidP="006A23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Responsable SG-SST – planificación, ejecución, seguimiento y análisis de indicadores.</w:t>
      </w:r>
    </w:p>
    <w:p w14:paraId="0754F1EC" w14:textId="77777777" w:rsidR="00975667" w:rsidRPr="006A23CA" w:rsidRDefault="00975667" w:rsidP="006A23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Profesional de Medicina Laboral / IPS – apoyo en valoración y seguimiento.</w:t>
      </w:r>
    </w:p>
    <w:p w14:paraId="60D1913F" w14:textId="77777777" w:rsidR="00975667" w:rsidRPr="006A23CA" w:rsidRDefault="00975667" w:rsidP="006A23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Grupo de Bienestar Social – articulación de actividades de promoción.</w:t>
      </w:r>
    </w:p>
    <w:p w14:paraId="62BE05A9" w14:textId="77777777" w:rsidR="00975667" w:rsidRPr="006A23CA" w:rsidRDefault="00975667" w:rsidP="006A23C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Servidores públicos – </w:t>
      </w:r>
      <w:proofErr w:type="gramStart"/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participación activa</w:t>
      </w:r>
      <w:proofErr w:type="gramEnd"/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 xml:space="preserve"> en actividades y cumplimiento de recomendaciones.</w:t>
      </w:r>
    </w:p>
    <w:p w14:paraId="2EEC1430" w14:textId="77777777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12" w:name="_Toc240028464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12. Presupuesto</w:t>
      </w:r>
      <w:bookmarkEnd w:id="12"/>
    </w:p>
    <w:p w14:paraId="31CF4F94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La ejecución se financiará con recursos asignados al SG-SST, Plan Institucional de Bienestar y demás recursos institucionales disponibles.</w:t>
      </w:r>
    </w:p>
    <w:p w14:paraId="244A83C0" w14:textId="77777777" w:rsidR="004E54C7" w:rsidRDefault="004E54C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</w:p>
    <w:p w14:paraId="1409B2C1" w14:textId="77777777" w:rsidR="00AE4298" w:rsidRPr="00AE4298" w:rsidRDefault="00AE4298" w:rsidP="00AE4298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13" w:name="_Toc239954415"/>
      <w:bookmarkStart w:id="14" w:name="_Toc240028465"/>
      <w:r w:rsidRPr="00AE4298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lastRenderedPageBreak/>
        <w:t>13. Documentos Relacionados</w:t>
      </w:r>
      <w:bookmarkEnd w:id="13"/>
      <w:bookmarkEnd w:id="14"/>
    </w:p>
    <w:p w14:paraId="6210D084" w14:textId="77777777" w:rsidR="005D51AA" w:rsidRPr="005D51AA" w:rsidRDefault="00AE4298" w:rsidP="00AE4298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hyperlink r:id="rId12" w:history="1">
        <w:bookmarkStart w:id="15" w:name="_Toc240028466"/>
        <w:r w:rsidRPr="005D51AA">
          <w:rPr>
            <w:rStyle w:val="Hipervnculo"/>
            <w:rFonts w:ascii="Verdana" w:hAnsi="Verdana"/>
            <w:szCs w:val="22"/>
          </w:rPr>
          <w:t>GTH19-GUI01</w:t>
        </w:r>
      </w:hyperlink>
      <w:r w:rsidRPr="005D51AA">
        <w:rPr>
          <w:rFonts w:ascii="Verdana" w:hAnsi="Verdana"/>
          <w:szCs w:val="22"/>
        </w:rPr>
        <w:t xml:space="preserve"> GUIA REALIZACIÓN DE LAS EVALUACIONES MÉDICAS OCUPACIONALES</w:t>
      </w:r>
      <w:bookmarkStart w:id="16" w:name="_Toc239954416"/>
      <w:bookmarkEnd w:id="15"/>
    </w:p>
    <w:bookmarkStart w:id="17" w:name="_Hlk240015707"/>
    <w:p w14:paraId="6A4F80A5" w14:textId="4455611C" w:rsidR="005D51AA" w:rsidRPr="005D51AA" w:rsidRDefault="00692980" w:rsidP="00AE4298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r>
        <w:rPr>
          <w:rFonts w:ascii="Verdana" w:hAnsi="Verdana"/>
          <w:szCs w:val="22"/>
        </w:rPr>
        <w:fldChar w:fldCharType="begin"/>
      </w:r>
      <w:r>
        <w:rPr>
          <w:rFonts w:ascii="Verdana" w:hAnsi="Verdana"/>
          <w:szCs w:val="22"/>
        </w:rPr>
        <w:instrText>HYPERLINK "https://www.contaduria.gov.co/documents/d/guest/politica-del-sistema-de-gestion-de-seguridad-y-salud-en-el-trabajo-1-"</w:instrText>
      </w:r>
      <w:r>
        <w:rPr>
          <w:rFonts w:ascii="Verdana" w:hAnsi="Verdana"/>
          <w:szCs w:val="22"/>
        </w:rPr>
      </w:r>
      <w:r>
        <w:rPr>
          <w:rFonts w:ascii="Verdana" w:hAnsi="Verdana"/>
          <w:szCs w:val="22"/>
        </w:rPr>
        <w:fldChar w:fldCharType="separate"/>
      </w:r>
      <w:bookmarkStart w:id="18" w:name="_Toc240028467"/>
      <w:r w:rsidR="005D51AA" w:rsidRPr="00692980">
        <w:rPr>
          <w:rStyle w:val="Hipervnculo"/>
          <w:rFonts w:ascii="Verdana" w:hAnsi="Verdana"/>
          <w:szCs w:val="22"/>
        </w:rPr>
        <w:t>Política de Seguridad y Salud en el Trabajo</w:t>
      </w:r>
      <w:r>
        <w:rPr>
          <w:rFonts w:ascii="Verdana" w:hAnsi="Verdana"/>
          <w:szCs w:val="22"/>
        </w:rPr>
        <w:fldChar w:fldCharType="end"/>
      </w:r>
      <w:r w:rsidR="005D51AA" w:rsidRPr="005D51AA">
        <w:rPr>
          <w:rFonts w:ascii="Verdana" w:hAnsi="Verdana"/>
          <w:szCs w:val="22"/>
        </w:rPr>
        <w:t>.</w:t>
      </w:r>
      <w:bookmarkEnd w:id="18"/>
    </w:p>
    <w:p w14:paraId="0AAAF553" w14:textId="2A4A78A6" w:rsidR="005D51AA" w:rsidRPr="008A41B0" w:rsidRDefault="008A41B0" w:rsidP="00AE4298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color w:val="0F4761" w:themeColor="accent1" w:themeShade="BF"/>
          <w:sz w:val="22"/>
          <w:szCs w:val="22"/>
          <w:lang w:eastAsia="es-CO"/>
        </w:rPr>
      </w:pPr>
      <w:hyperlink r:id="rId13" w:history="1">
        <w:bookmarkStart w:id="19" w:name="_Toc240028468"/>
        <w:r w:rsidR="005D51AA" w:rsidRPr="008A41B0">
          <w:rPr>
            <w:rStyle w:val="Hipervnculo"/>
            <w:rFonts w:ascii="Verdana" w:eastAsia="Times New Roman" w:hAnsi="Verdana" w:cstheme="majorBidi"/>
            <w:sz w:val="22"/>
            <w:szCs w:val="22"/>
            <w:lang w:eastAsia="es-CO"/>
          </w:rPr>
          <w:t>Matriz de identificación de peligros y valoración de riesgos</w:t>
        </w:r>
        <w:bookmarkEnd w:id="19"/>
      </w:hyperlink>
    </w:p>
    <w:p w14:paraId="5AFF5F36" w14:textId="07071EF3" w:rsidR="00AE4298" w:rsidRPr="005D51AA" w:rsidRDefault="00AE4298" w:rsidP="005D51A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20" w:name="_Toc240028469"/>
      <w:bookmarkEnd w:id="17"/>
      <w:r w:rsidRPr="005D51AA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14. Documentos Anexos</w:t>
      </w:r>
      <w:bookmarkEnd w:id="16"/>
      <w:bookmarkEnd w:id="20"/>
    </w:p>
    <w:p w14:paraId="6EB389AB" w14:textId="77777777" w:rsidR="00AE4298" w:rsidRPr="00044415" w:rsidRDefault="00AE4298" w:rsidP="00AE4298">
      <w:pPr>
        <w:pStyle w:val="Prrafodelista"/>
        <w:numPr>
          <w:ilvl w:val="0"/>
          <w:numId w:val="7"/>
        </w:numPr>
        <w:spacing w:line="259" w:lineRule="auto"/>
        <w:jc w:val="both"/>
        <w:rPr>
          <w:rFonts w:ascii="Verdana" w:hAnsi="Verdana"/>
        </w:rPr>
      </w:pPr>
      <w:bookmarkStart w:id="21" w:name="_Hlk240015700"/>
      <w:r w:rsidRPr="00044415">
        <w:rPr>
          <w:rFonts w:ascii="Verdana" w:hAnsi="Verdana"/>
        </w:rPr>
        <w:t>Plan Institucional de Capacitación CGN</w:t>
      </w:r>
    </w:p>
    <w:p w14:paraId="78B54D58" w14:textId="041F3AB7" w:rsidR="00AE4298" w:rsidRPr="00044415" w:rsidRDefault="00692980" w:rsidP="00AE4298">
      <w:pPr>
        <w:pStyle w:val="Prrafodelista"/>
        <w:numPr>
          <w:ilvl w:val="0"/>
          <w:numId w:val="7"/>
        </w:numPr>
        <w:spacing w:line="259" w:lineRule="auto"/>
        <w:jc w:val="both"/>
        <w:rPr>
          <w:rFonts w:ascii="Verdana" w:hAnsi="Verdana"/>
          <w:szCs w:val="22"/>
        </w:rPr>
      </w:pPr>
      <w:hyperlink r:id="rId14" w:history="1">
        <w:r w:rsidR="00AE4298" w:rsidRPr="00692980">
          <w:rPr>
            <w:rStyle w:val="Hipervnculo"/>
            <w:rFonts w:ascii="Verdana" w:hAnsi="Verdana"/>
            <w:szCs w:val="22"/>
          </w:rPr>
          <w:t>Cronograma anual del SG-SST</w:t>
        </w:r>
      </w:hyperlink>
    </w:p>
    <w:p w14:paraId="792CA7F2" w14:textId="7B21E93B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22" w:name="_Toc240028470"/>
      <w:bookmarkEnd w:id="21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</w:t>
      </w:r>
      <w:r w:rsidR="00AE4298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5</w:t>
      </w:r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. Cronograma</w:t>
      </w:r>
      <w:bookmarkEnd w:id="22"/>
    </w:p>
    <w:p w14:paraId="4133DE2F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Las actividades se desarrollarán de acuerdo con el cronograma anual del SG-SST y el Plan Institucional de Bienestar, priorizando caracterización, educación, promoción, seguimiento e intervención.</w:t>
      </w:r>
    </w:p>
    <w:p w14:paraId="7DDF80DF" w14:textId="3EE53C7A" w:rsidR="00975667" w:rsidRPr="00462FE6" w:rsidRDefault="00975667" w:rsidP="006A23CA">
      <w:pPr>
        <w:spacing w:before="100" w:beforeAutospacing="1" w:after="100" w:afterAutospacing="1" w:line="240" w:lineRule="auto"/>
        <w:jc w:val="both"/>
        <w:outlineLvl w:val="1"/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</w:pPr>
      <w:bookmarkStart w:id="23" w:name="_Toc240028471"/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1</w:t>
      </w:r>
      <w:r w:rsidR="00AE4298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6</w:t>
      </w:r>
      <w:r w:rsidRPr="00462FE6">
        <w:rPr>
          <w:rFonts w:ascii="Verdana" w:eastAsia="Times New Roman" w:hAnsi="Verdana" w:cstheme="majorBidi"/>
          <w:b/>
          <w:bCs/>
          <w:color w:val="0F4761" w:themeColor="accent1" w:themeShade="BF"/>
          <w:sz w:val="22"/>
          <w:szCs w:val="22"/>
          <w:lang w:eastAsia="es-CO"/>
        </w:rPr>
        <w:t>. Evaluación y mejora continua</w:t>
      </w:r>
      <w:bookmarkEnd w:id="23"/>
    </w:p>
    <w:p w14:paraId="025FD603" w14:textId="77777777" w:rsidR="00975667" w:rsidRPr="006A23CA" w:rsidRDefault="00975667" w:rsidP="006A23CA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</w:pPr>
      <w:r w:rsidRPr="006A23CA">
        <w:rPr>
          <w:rFonts w:ascii="Verdana" w:eastAsia="Times New Roman" w:hAnsi="Verdana" w:cs="Times New Roman"/>
          <w:kern w:val="0"/>
          <w:sz w:val="22"/>
          <w:szCs w:val="22"/>
          <w:lang w:eastAsia="es-CO"/>
          <w14:ligatures w14:val="none"/>
        </w:rPr>
        <w:t>El Programa será evaluado periódicamente a partir de indicadores, cumplimiento de actividades y resultados de evaluaciones médicas, ajustando objetivos y estrategias según nuevas necesidades.</w:t>
      </w:r>
    </w:p>
    <w:p w14:paraId="3E2ED5F4" w14:textId="7A79CD7A" w:rsidR="003D22CD" w:rsidRPr="003D22CD" w:rsidRDefault="003D22CD" w:rsidP="003D22CD">
      <w:pPr>
        <w:jc w:val="both"/>
        <w:rPr>
          <w:rFonts w:ascii="Verdana" w:hAnsi="Verdana"/>
          <w:sz w:val="22"/>
          <w:szCs w:val="22"/>
        </w:rPr>
      </w:pPr>
      <w:proofErr w:type="spellStart"/>
      <w:r w:rsidRPr="003D22CD">
        <w:rPr>
          <w:rFonts w:ascii="Verdana" w:hAnsi="Verdana"/>
          <w:sz w:val="22"/>
          <w:szCs w:val="22"/>
        </w:rPr>
        <w:t>ue</w:t>
      </w:r>
      <w:proofErr w:type="spellEnd"/>
      <w:r w:rsidRPr="003D22CD">
        <w:rPr>
          <w:rFonts w:ascii="Verdana" w:hAnsi="Verdana"/>
          <w:sz w:val="22"/>
          <w:szCs w:val="22"/>
        </w:rPr>
        <w:t xml:space="preserve"> diligencian la Encuesta SIN-DME o son objeto de inspección ergonómica son informados previamente sobre el propósito de la recolección de datos, el uso que se dará a la información y su derecho a conocer, actualizar y rectificar sus datos personales, en concordancia con el régimen de protección de datos vigente.</w:t>
      </w:r>
    </w:p>
    <w:p w14:paraId="792EACE2" w14:textId="77777777" w:rsidR="00975667" w:rsidRPr="006A23CA" w:rsidRDefault="00975667" w:rsidP="006A23CA">
      <w:pPr>
        <w:jc w:val="both"/>
        <w:rPr>
          <w:rFonts w:ascii="Verdana" w:hAnsi="Verdana"/>
          <w:sz w:val="22"/>
          <w:szCs w:val="22"/>
        </w:rPr>
      </w:pPr>
    </w:p>
    <w:sectPr w:rsidR="00975667" w:rsidRPr="006A23CA">
      <w:headerReference w:type="default" r:id="rId15"/>
      <w:footerReference w:type="defaul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B71FE" w14:textId="77777777" w:rsidR="00842D9B" w:rsidRDefault="00842D9B" w:rsidP="006A23CA">
      <w:pPr>
        <w:spacing w:after="0" w:line="240" w:lineRule="auto"/>
      </w:pPr>
      <w:r>
        <w:separator/>
      </w:r>
    </w:p>
  </w:endnote>
  <w:endnote w:type="continuationSeparator" w:id="0">
    <w:p w14:paraId="0829256A" w14:textId="77777777" w:rsidR="00842D9B" w:rsidRDefault="00842D9B" w:rsidP="006A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39C8" w14:textId="77777777" w:rsidR="006A23CA" w:rsidRPr="008410A3" w:rsidRDefault="006A23CA" w:rsidP="006A23CA">
    <w:pPr>
      <w:pStyle w:val="Piedepgina"/>
      <w:jc w:val="right"/>
    </w:pPr>
    <w:r w:rsidRPr="008410A3">
      <w:t xml:space="preserve">Página | </w:t>
    </w:r>
    <w:r w:rsidRPr="008410A3">
      <w:fldChar w:fldCharType="begin"/>
    </w:r>
    <w:r w:rsidRPr="008410A3">
      <w:instrText>PAGE   \* MERGEFORMAT</w:instrText>
    </w:r>
    <w:r w:rsidRPr="008410A3">
      <w:fldChar w:fldCharType="separate"/>
    </w:r>
    <w:r>
      <w:t>1</w:t>
    </w:r>
    <w:r w:rsidRPr="008410A3">
      <w:fldChar w:fldCharType="end"/>
    </w:r>
    <w:r w:rsidRPr="008410A3">
      <w:t xml:space="preserve"> </w:t>
    </w:r>
  </w:p>
  <w:p w14:paraId="1A1EF49F" w14:textId="3B02EA6B" w:rsidR="006A23CA" w:rsidRDefault="006A23CA">
    <w:pPr>
      <w:pStyle w:val="Piedepgina"/>
    </w:pPr>
    <w:r w:rsidRPr="008410A3">
      <w:rPr>
        <w:noProof/>
      </w:rPr>
      <w:drawing>
        <wp:anchor distT="0" distB="0" distL="114300" distR="114300" simplePos="0" relativeHeight="251659264" behindDoc="1" locked="0" layoutInCell="1" allowOverlap="1" wp14:anchorId="79E7CDB4" wp14:editId="44F5F7B6">
          <wp:simplePos x="0" y="0"/>
          <wp:positionH relativeFrom="column">
            <wp:posOffset>-285750</wp:posOffset>
          </wp:positionH>
          <wp:positionV relativeFrom="paragraph">
            <wp:posOffset>-314325</wp:posOffset>
          </wp:positionV>
          <wp:extent cx="5470525" cy="767579"/>
          <wp:effectExtent l="0" t="0" r="0" b="0"/>
          <wp:wrapNone/>
          <wp:docPr id="4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0525" cy="767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AF152" w14:textId="77777777" w:rsidR="00842D9B" w:rsidRDefault="00842D9B" w:rsidP="006A23CA">
      <w:pPr>
        <w:spacing w:after="0" w:line="240" w:lineRule="auto"/>
      </w:pPr>
      <w:r>
        <w:separator/>
      </w:r>
    </w:p>
  </w:footnote>
  <w:footnote w:type="continuationSeparator" w:id="0">
    <w:p w14:paraId="7FBE10D4" w14:textId="77777777" w:rsidR="00842D9B" w:rsidRDefault="00842D9B" w:rsidP="006A23CA">
      <w:pPr>
        <w:spacing w:after="0" w:line="240" w:lineRule="auto"/>
      </w:pPr>
      <w:r>
        <w:continuationSeparator/>
      </w:r>
    </w:p>
  </w:footnote>
  <w:footnote w:id="1">
    <w:p w14:paraId="43D7042D" w14:textId="234AE568" w:rsidR="005874FE" w:rsidRDefault="005874FE" w:rsidP="004E54C7">
      <w:pPr>
        <w:pStyle w:val="Textonotapie"/>
        <w:jc w:val="both"/>
      </w:pPr>
      <w:r>
        <w:rPr>
          <w:rStyle w:val="Refdenotaalpie"/>
        </w:rPr>
        <w:footnoteRef/>
      </w:r>
      <w:r>
        <w:t xml:space="preserve"> </w:t>
      </w:r>
      <w:r w:rsidRPr="008A41B0">
        <w:rPr>
          <w:rFonts w:ascii="Verdana" w:hAnsi="Verdana"/>
        </w:rPr>
        <w:t>I</w:t>
      </w:r>
      <w:r w:rsidRPr="008A41B0">
        <w:rPr>
          <w:rFonts w:ascii="Verdana" w:hAnsi="Verdana"/>
        </w:rPr>
        <w:t xml:space="preserve">nstrumento de tamizaje desarrollado por la Universidad del Rosario para la identificación temprana de sintomatología osteomuscular en población trabajadora, el cual evalúa información personal, hábitos, exposición laboral y estado de salud (localización, duración e intensidad del dolor) mediante un mapa corporal </w:t>
      </w:r>
      <w:proofErr w:type="spellStart"/>
      <w:proofErr w:type="gramStart"/>
      <w:r w:rsidRPr="008A41B0">
        <w:rPr>
          <w:rFonts w:ascii="Verdana" w:hAnsi="Verdana"/>
        </w:rPr>
        <w:t>autodiligenciado</w:t>
      </w:r>
      <w:proofErr w:type="spellEnd"/>
      <w:r w:rsidRPr="008A41B0">
        <w:rPr>
          <w:rFonts w:ascii="Verdana" w:hAnsi="Verdana"/>
        </w:rPr>
        <w:t>..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AD13" w14:textId="53452ECE" w:rsidR="006A23CA" w:rsidRDefault="006A23CA">
    <w:pPr>
      <w:pStyle w:val="Encabezado"/>
    </w:pPr>
    <w:r w:rsidRPr="00937D7D">
      <w:rPr>
        <w:noProof/>
      </w:rPr>
      <w:drawing>
        <wp:inline distT="0" distB="0" distL="0" distR="0" wp14:anchorId="20216E1E" wp14:editId="3D8A2574">
          <wp:extent cx="5581650" cy="963930"/>
          <wp:effectExtent l="0" t="0" r="0" b="0"/>
          <wp:docPr id="1885989877" name="Imagen 1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5989877" name="Imagen 1" descr="Logotipo, nombre de la empresa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1650" cy="963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1D00"/>
    <w:multiLevelType w:val="multilevel"/>
    <w:tmpl w:val="73EC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24594"/>
    <w:multiLevelType w:val="multilevel"/>
    <w:tmpl w:val="2610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3551E"/>
    <w:multiLevelType w:val="multilevel"/>
    <w:tmpl w:val="5406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94FAF"/>
    <w:multiLevelType w:val="hybridMultilevel"/>
    <w:tmpl w:val="279CD91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B77BE"/>
    <w:multiLevelType w:val="multilevel"/>
    <w:tmpl w:val="15ACD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6E7AE1"/>
    <w:multiLevelType w:val="multilevel"/>
    <w:tmpl w:val="DE5A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266AC5"/>
    <w:multiLevelType w:val="multilevel"/>
    <w:tmpl w:val="BC70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3421242">
    <w:abstractNumId w:val="1"/>
  </w:num>
  <w:num w:numId="2" w16cid:durableId="1711104820">
    <w:abstractNumId w:val="4"/>
  </w:num>
  <w:num w:numId="3" w16cid:durableId="1000079366">
    <w:abstractNumId w:val="0"/>
  </w:num>
  <w:num w:numId="4" w16cid:durableId="1189022791">
    <w:abstractNumId w:val="2"/>
  </w:num>
  <w:num w:numId="5" w16cid:durableId="754206809">
    <w:abstractNumId w:val="5"/>
  </w:num>
  <w:num w:numId="6" w16cid:durableId="477189356">
    <w:abstractNumId w:val="6"/>
  </w:num>
  <w:num w:numId="7" w16cid:durableId="1316837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67"/>
    <w:rsid w:val="000108DA"/>
    <w:rsid w:val="000202B5"/>
    <w:rsid w:val="00050C39"/>
    <w:rsid w:val="000531E5"/>
    <w:rsid w:val="002258B5"/>
    <w:rsid w:val="003C3A1A"/>
    <w:rsid w:val="003D22CD"/>
    <w:rsid w:val="00462FE6"/>
    <w:rsid w:val="004A28DA"/>
    <w:rsid w:val="004E54C7"/>
    <w:rsid w:val="005274D3"/>
    <w:rsid w:val="0054436C"/>
    <w:rsid w:val="005874FE"/>
    <w:rsid w:val="005D51AA"/>
    <w:rsid w:val="00692980"/>
    <w:rsid w:val="006A23CA"/>
    <w:rsid w:val="006F2F14"/>
    <w:rsid w:val="00842D9B"/>
    <w:rsid w:val="008A41B0"/>
    <w:rsid w:val="008E2AC0"/>
    <w:rsid w:val="00975667"/>
    <w:rsid w:val="009D0DC3"/>
    <w:rsid w:val="00A46BD3"/>
    <w:rsid w:val="00AE4298"/>
    <w:rsid w:val="00BF377A"/>
    <w:rsid w:val="00CD664D"/>
    <w:rsid w:val="00F2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BFAD"/>
  <w15:chartTrackingRefBased/>
  <w15:docId w15:val="{EB12535A-1B27-4297-8F0D-D1A1BD04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75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75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756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756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756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56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756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756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756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756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756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756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756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756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56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756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756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756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75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75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756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756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75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756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756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756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756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756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7566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A23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23CA"/>
  </w:style>
  <w:style w:type="paragraph" w:styleId="Piedepgina">
    <w:name w:val="footer"/>
    <w:basedOn w:val="Normal"/>
    <w:link w:val="PiedepginaCar"/>
    <w:unhideWhenUsed/>
    <w:rsid w:val="006A23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6A23CA"/>
  </w:style>
  <w:style w:type="table" w:styleId="Tablaconcuadrcula1clara-nfasis4">
    <w:name w:val="Grid Table 1 Light Accent 4"/>
    <w:basedOn w:val="Tablanormal"/>
    <w:uiPriority w:val="46"/>
    <w:rsid w:val="00462FE6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">
    <w:name w:val="Grid Table 1 Light"/>
    <w:basedOn w:val="Tablanormal"/>
    <w:uiPriority w:val="46"/>
    <w:rsid w:val="00462F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tuloTDC">
    <w:name w:val="TOC Heading"/>
    <w:basedOn w:val="Ttulo1"/>
    <w:next w:val="Normal"/>
    <w:uiPriority w:val="39"/>
    <w:unhideWhenUsed/>
    <w:qFormat/>
    <w:rsid w:val="00462FE6"/>
    <w:pPr>
      <w:spacing w:before="240" w:after="0" w:line="259" w:lineRule="auto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462FE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462FE6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462FE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4D3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874F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874F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874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caldiabogota.gov.co/sisjur/normas/Norma1.jsp?i=62506" TargetMode="External"/><Relationship Id="rId13" Type="http://schemas.openxmlformats.org/officeDocument/2006/relationships/hyperlink" Target="https://www.contaduria.gov.co/documents/d/intranet/gth13-for03-v2-matriz-ipvrdc-1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taduria.gov.co/web/intranet/sistema-de-gestion-de-calidad/-/document_library/vpkf13iCweJ8/view_file/8313196?p_r_p_resetCur=false&amp;_com_liferay_document_library_web_portlet_DLPortlet_INSTANCE_vpkf13iCweJ8_redirect=https%3A%2F%2Fwww.contaduria.gov.co%3A443%2Fweb%2Fintranet%2Fsistema-de-gestion-de-calidad%2F-%2Fdocument_library%2Fvpkf13iCweJ8%2Fview%2F8311042%3F_com_liferay_document_library_web_portlet_DLPortlet_INSTANCE_vpkf13iCweJ8_redirect%3Dhttps%253A%252F%252Fwww.contaduria.gov.co%253A443%252Fweb%252Fintranet%252Fsistema-de-gestion-de-calidad%252F-%252Fdocument_library%252Fvpkf13iCweJ8%252Fview%252F2149155%253Fp_r_p_resetCur%253Dfalse%26p_r_p_resetCur%3Dfals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lcaldiabogota.gov.co/sisjur/normas/Norma1.jsp?i=17894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lcaldiabogota.gov.co/sisjur/normas/Norma1.jsp?i=826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ncionpublica.gov.co/eva/gestornormativo/norma.php?i=58849" TargetMode="External"/><Relationship Id="rId14" Type="http://schemas.openxmlformats.org/officeDocument/2006/relationships/hyperlink" Target="https://www.contaduria.gov.co/web/intranet/sistema-de-gestion-de-seguridad-y-salud-en-el-trabaj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813A-05CA-4125-BCBB-23A466AD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1612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Quemba Gomez - Coordinadora GIT de Talento Humano y Prestaciones Sociales</dc:creator>
  <cp:keywords/>
  <dc:description/>
  <cp:lastModifiedBy>Tatiana Espejo U</cp:lastModifiedBy>
  <cp:revision>8</cp:revision>
  <dcterms:created xsi:type="dcterms:W3CDTF">2026-09-10T21:01:00Z</dcterms:created>
  <dcterms:modified xsi:type="dcterms:W3CDTF">2026-09-11T19:14:00Z</dcterms:modified>
</cp:coreProperties>
</file>